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r>
        <w:rPr>
          <w:rFonts w:hint="eastAsia" w:ascii="华文中宋" w:hAnsi="华文中宋" w:eastAsia="华文中宋" w:cs="华文中宋"/>
          <w:b/>
          <w:bCs/>
          <w:color w:val="000000"/>
          <w:sz w:val="36"/>
          <w:szCs w:val="36"/>
          <w:shd w:val="clear" w:color="auto" w:fill="FFFFFF"/>
        </w:rPr>
        <w:t>财税法务系关于</w:t>
      </w:r>
      <w:r>
        <w:rPr>
          <w:rFonts w:hint="eastAsia" w:ascii="华文中宋" w:hAnsi="华文中宋" w:eastAsia="华文中宋" w:cs="方正小标宋简体"/>
          <w:b/>
          <w:sz w:val="36"/>
          <w:szCs w:val="36"/>
        </w:rPr>
        <w:t>学生转专业</w:t>
      </w:r>
    </w:p>
    <w:p>
      <w:pPr>
        <w:pStyle w:val="5"/>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r>
        <w:rPr>
          <w:rFonts w:hint="eastAsia" w:ascii="华文中宋" w:hAnsi="华文中宋" w:eastAsia="华文中宋" w:cs="方正小标宋简体"/>
          <w:b/>
          <w:sz w:val="36"/>
          <w:szCs w:val="36"/>
        </w:rPr>
        <w:t>管理</w:t>
      </w:r>
      <w:r>
        <w:rPr>
          <w:rFonts w:hint="eastAsia" w:ascii="华文中宋" w:hAnsi="华文中宋" w:eastAsia="华文中宋" w:cs="华文中宋"/>
          <w:b/>
          <w:bCs/>
          <w:color w:val="000000"/>
          <w:sz w:val="36"/>
          <w:szCs w:val="36"/>
          <w:shd w:val="clear" w:color="auto" w:fill="FFFFFF"/>
        </w:rPr>
        <w:t>实施细则</w:t>
      </w:r>
    </w:p>
    <w:p>
      <w:pPr>
        <w:pStyle w:val="5"/>
        <w:shd w:val="clear" w:color="auto" w:fill="FFFFFF"/>
        <w:spacing w:beforeAutospacing="0" w:afterAutospacing="0" w:line="560" w:lineRule="exact"/>
        <w:ind w:firstLine="721" w:firstLineChars="200"/>
        <w:jc w:val="center"/>
        <w:rPr>
          <w:rFonts w:ascii="华文中宋" w:hAnsi="华文中宋" w:eastAsia="华文中宋" w:cs="华文中宋"/>
          <w:b/>
          <w:bCs/>
          <w:color w:val="000000"/>
          <w:sz w:val="36"/>
          <w:szCs w:val="36"/>
          <w:shd w:val="clear" w:color="auto" w:fill="FFFFFF"/>
        </w:rPr>
      </w:pP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按照《河北政法职业学院转专业管理暂行办法》的要求，为更好地满足学生个性发展的需求，尊重他们的学习兴趣和职业规划选择，充分调动学生学习的积极性和主动性。本着公平、公正、公开的原则，制定本实施细则。</w:t>
      </w:r>
    </w:p>
    <w:p>
      <w:pPr>
        <w:pStyle w:val="5"/>
        <w:widowControl/>
        <w:shd w:val="clear" w:color="auto" w:fill="FFFFFF"/>
        <w:spacing w:beforeAutospacing="0" w:afterAutospacing="0" w:line="560" w:lineRule="exact"/>
        <w:ind w:firstLine="562" w:firstLineChars="200"/>
        <w:rPr>
          <w:rFonts w:hint="eastAsia" w:ascii="方正仿宋_GB2312" w:hAnsi="方正仿宋_GB2312" w:eastAsia="方正仿宋_GB2312" w:cs="方正仿宋_GB2312"/>
          <w:color w:val="auto"/>
          <w:sz w:val="28"/>
          <w:szCs w:val="28"/>
        </w:rPr>
      </w:pPr>
      <w:r>
        <w:rPr>
          <w:rStyle w:val="8"/>
          <w:rFonts w:hint="eastAsia" w:ascii="方正仿宋_GB2312" w:hAnsi="方正仿宋_GB2312" w:eastAsia="方正仿宋_GB2312" w:cs="方正仿宋_GB2312"/>
          <w:bCs/>
          <w:color w:val="auto"/>
          <w:sz w:val="28"/>
          <w:szCs w:val="28"/>
          <w:shd w:val="clear" w:color="auto" w:fill="FFFFFF"/>
        </w:rPr>
        <w:t>一、组织机构</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领导小组：</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组 长：宋瑞莉</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rPr>
        <w:t>副组长：付蕾 闫博</w:t>
      </w:r>
      <w:r>
        <w:rPr>
          <w:rFonts w:hint="eastAsia" w:ascii="方正仿宋_GB2312" w:hAnsi="方正仿宋_GB2312" w:eastAsia="方正仿宋_GB2312" w:cs="方正仿宋_GB2312"/>
          <w:color w:val="auto"/>
          <w:sz w:val="28"/>
          <w:szCs w:val="28"/>
          <w:shd w:val="clear" w:color="auto" w:fill="FFFFFF"/>
          <w:lang w:val="en-US" w:eastAsia="zh-CN"/>
        </w:rPr>
        <w:t xml:space="preserve"> </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rPr>
        <w:t xml:space="preserve">成 员：张红岩 陈礼丹 王旋 任洁 侯冉 </w:t>
      </w:r>
      <w:r>
        <w:rPr>
          <w:rFonts w:hint="eastAsia" w:ascii="方正仿宋_GB2312" w:hAnsi="方正仿宋_GB2312" w:eastAsia="方正仿宋_GB2312" w:cs="方正仿宋_GB2312"/>
          <w:color w:val="auto"/>
          <w:sz w:val="28"/>
          <w:szCs w:val="28"/>
          <w:shd w:val="clear" w:color="auto" w:fill="FFFFFF"/>
          <w:lang w:val="en-US" w:eastAsia="zh-CN"/>
        </w:rPr>
        <w:t>刘柳 魏少伟 杨继帅</w:t>
      </w:r>
    </w:p>
    <w:tbl>
      <w:tblPr>
        <w:tblStyle w:val="6"/>
        <w:tblpPr w:leftFromText="180" w:rightFromText="180" w:vertAnchor="text" w:horzAnchor="page" w:tblpX="2082" w:tblpY="5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958"/>
        <w:gridCol w:w="3180"/>
        <w:gridCol w:w="2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58" w:type="dxa"/>
            <w:shd w:val="clear" w:color="auto" w:fill="auto"/>
            <w:tcMar>
              <w:top w:w="0" w:type="dxa"/>
              <w:left w:w="105" w:type="dxa"/>
              <w:bottom w:w="0" w:type="dxa"/>
              <w:right w:w="105" w:type="dxa"/>
            </w:tcMar>
            <w:vAlign w:val="center"/>
          </w:tcPr>
          <w:p>
            <w:pPr>
              <w:pStyle w:val="5"/>
              <w:widowControl/>
              <w:spacing w:beforeAutospacing="0" w:afterAutospacing="0" w:line="560" w:lineRule="exact"/>
              <w:ind w:firstLine="560" w:firstLineChars="200"/>
              <w:jc w:val="both"/>
              <w:rPr>
                <w:rFonts w:ascii="仿宋" w:hAnsi="仿宋" w:eastAsia="仿宋" w:cs="仿宋"/>
                <w:color w:val="auto"/>
              </w:rPr>
            </w:pPr>
            <w:r>
              <w:rPr>
                <w:rFonts w:hint="eastAsia" w:ascii="仿宋" w:hAnsi="仿宋" w:eastAsia="仿宋" w:cs="仿宋"/>
                <w:color w:val="auto"/>
                <w:sz w:val="28"/>
                <w:szCs w:val="28"/>
              </w:rPr>
              <w:t>专业</w:t>
            </w:r>
          </w:p>
        </w:tc>
        <w:tc>
          <w:tcPr>
            <w:tcW w:w="3180" w:type="dxa"/>
            <w:shd w:val="clear" w:color="auto" w:fill="auto"/>
            <w:tcMar>
              <w:top w:w="0" w:type="dxa"/>
              <w:left w:w="105" w:type="dxa"/>
              <w:bottom w:w="0" w:type="dxa"/>
              <w:right w:w="105" w:type="dxa"/>
            </w:tcMar>
            <w:vAlign w:val="center"/>
          </w:tcPr>
          <w:p>
            <w:pPr>
              <w:pStyle w:val="5"/>
              <w:widowControl/>
              <w:spacing w:beforeAutospacing="0" w:afterAutospacing="0" w:line="560" w:lineRule="exact"/>
              <w:ind w:firstLine="560" w:firstLineChars="200"/>
              <w:jc w:val="center"/>
              <w:rPr>
                <w:rFonts w:ascii="仿宋" w:hAnsi="仿宋" w:eastAsia="仿宋" w:cs="仿宋"/>
                <w:color w:val="auto"/>
              </w:rPr>
            </w:pPr>
            <w:r>
              <w:rPr>
                <w:rFonts w:hint="eastAsia" w:ascii="仿宋" w:hAnsi="仿宋" w:eastAsia="仿宋" w:cs="仿宋"/>
                <w:color w:val="auto"/>
                <w:sz w:val="28"/>
                <w:szCs w:val="28"/>
              </w:rPr>
              <w:t>现有学生人数（人）</w:t>
            </w:r>
          </w:p>
        </w:tc>
        <w:tc>
          <w:tcPr>
            <w:tcW w:w="299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sz w:val="28"/>
                <w:szCs w:val="28"/>
              </w:rPr>
              <w:t xml:space="preserve"> 拟接收学生计划</w:t>
            </w:r>
            <w:r>
              <w:rPr>
                <w:rFonts w:ascii="仿宋" w:hAnsi="仿宋" w:eastAsia="仿宋" w:cs="仿宋"/>
                <w:color w:val="auto"/>
                <w:sz w:val="28"/>
                <w:szCs w:val="28"/>
              </w:rPr>
              <w:t>(</w:t>
            </w:r>
            <w:r>
              <w:rPr>
                <w:rFonts w:hint="eastAsia" w:ascii="仿宋" w:hAnsi="仿宋" w:eastAsia="仿宋" w:cs="仿宋"/>
                <w:color w:val="auto"/>
                <w:sz w:val="28"/>
                <w:szCs w:val="28"/>
              </w:rPr>
              <w:t>人</w:t>
            </w:r>
            <w:r>
              <w:rPr>
                <w:rFonts w:ascii="仿宋" w:hAnsi="仿宋" w:eastAsia="仿宋" w:cs="仿宋"/>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trPr>
        <w:tc>
          <w:tcPr>
            <w:tcW w:w="1958"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大数据与会计</w:t>
            </w:r>
          </w:p>
        </w:tc>
        <w:tc>
          <w:tcPr>
            <w:tcW w:w="318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62</w:t>
            </w:r>
          </w:p>
        </w:tc>
        <w:tc>
          <w:tcPr>
            <w:tcW w:w="299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ascii="仿宋" w:hAnsi="仿宋" w:eastAsia="仿宋" w:cs="仿宋"/>
                <w:color w:val="auto"/>
              </w:rPr>
            </w:pPr>
            <w:r>
              <w:rPr>
                <w:rFonts w:ascii="仿宋" w:hAnsi="仿宋" w:eastAsia="仿宋" w:cs="仿宋"/>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58"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大数据与财务管理（注册会计师方向）</w:t>
            </w:r>
          </w:p>
        </w:tc>
        <w:tc>
          <w:tcPr>
            <w:tcW w:w="318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63</w:t>
            </w:r>
          </w:p>
        </w:tc>
        <w:tc>
          <w:tcPr>
            <w:tcW w:w="299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ascii="仿宋" w:hAnsi="仿宋" w:eastAsia="仿宋" w:cs="仿宋"/>
                <w:color w:val="auto"/>
              </w:rPr>
            </w:pPr>
            <w:r>
              <w:rPr>
                <w:rFonts w:ascii="仿宋" w:hAnsi="仿宋" w:eastAsia="仿宋" w:cs="仿宋"/>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58"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大数据与审计</w:t>
            </w:r>
          </w:p>
        </w:tc>
        <w:tc>
          <w:tcPr>
            <w:tcW w:w="318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63</w:t>
            </w:r>
          </w:p>
        </w:tc>
        <w:tc>
          <w:tcPr>
            <w:tcW w:w="299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ascii="仿宋" w:hAnsi="仿宋" w:eastAsia="仿宋" w:cs="仿宋"/>
                <w:color w:val="auto"/>
              </w:rPr>
            </w:pPr>
            <w:r>
              <w:rPr>
                <w:rFonts w:ascii="仿宋" w:hAnsi="仿宋" w:eastAsia="仿宋" w:cs="仿宋"/>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58"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法律事务（法务会计方向）</w:t>
            </w:r>
          </w:p>
        </w:tc>
        <w:tc>
          <w:tcPr>
            <w:tcW w:w="318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59</w:t>
            </w:r>
          </w:p>
        </w:tc>
        <w:tc>
          <w:tcPr>
            <w:tcW w:w="2990"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center"/>
              <w:rPr>
                <w:rFonts w:ascii="仿宋" w:hAnsi="仿宋" w:eastAsia="仿宋" w:cs="仿宋"/>
                <w:color w:val="auto"/>
              </w:rPr>
            </w:pPr>
            <w:r>
              <w:rPr>
                <w:rFonts w:ascii="仿宋" w:hAnsi="仿宋" w:eastAsia="仿宋" w:cs="仿宋"/>
                <w:color w:val="auto"/>
              </w:rPr>
              <w:t>10</w:t>
            </w:r>
          </w:p>
        </w:tc>
      </w:tr>
    </w:tbl>
    <w:p>
      <w:pPr>
        <w:pStyle w:val="5"/>
        <w:widowControl/>
        <w:shd w:val="clear" w:color="auto" w:fill="FFFFFF"/>
        <w:spacing w:beforeAutospacing="0" w:afterAutospacing="0" w:line="560" w:lineRule="exact"/>
        <w:ind w:firstLine="562" w:firstLineChars="200"/>
        <w:rPr>
          <w:rFonts w:hint="eastAsia" w:ascii="方正仿宋_GB2312" w:hAnsi="方正仿宋_GB2312" w:eastAsia="方正仿宋_GB2312" w:cs="方正仿宋_GB2312"/>
          <w:color w:val="auto"/>
          <w:sz w:val="28"/>
          <w:szCs w:val="28"/>
        </w:rPr>
      </w:pPr>
      <w:r>
        <w:rPr>
          <w:rStyle w:val="8"/>
          <w:rFonts w:hint="eastAsia" w:ascii="方正仿宋_GB2312" w:hAnsi="方正仿宋_GB2312" w:eastAsia="方正仿宋_GB2312" w:cs="方正仿宋_GB2312"/>
          <w:bCs/>
          <w:color w:val="auto"/>
          <w:sz w:val="28"/>
          <w:szCs w:val="28"/>
          <w:shd w:val="clear" w:color="auto" w:fill="FFFFFF"/>
        </w:rPr>
        <w:t>二、各专业拟接收学生计划</w:t>
      </w:r>
    </w:p>
    <w:p>
      <w:pPr>
        <w:pStyle w:val="5"/>
        <w:widowControl/>
        <w:shd w:val="clear" w:color="auto" w:fill="FFFFFF"/>
        <w:spacing w:beforeAutospacing="0" w:afterAutospacing="0" w:line="560" w:lineRule="exact"/>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各专业的转专业接收计划人数一般不超过本专业学生人数的20%，根据具体专业教学资源情况，确定接收计划。具体指标分配如下：</w:t>
      </w:r>
    </w:p>
    <w:p>
      <w:pPr>
        <w:pStyle w:val="5"/>
        <w:widowControl/>
        <w:shd w:val="clear" w:color="auto" w:fill="FFFFFF"/>
        <w:spacing w:beforeAutospacing="0" w:afterAutospacing="0" w:line="560" w:lineRule="exact"/>
        <w:ind w:firstLine="708" w:firstLineChars="253"/>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shd w:val="clear" w:color="auto" w:fill="FFFFFF"/>
        </w:rPr>
        <w:t>三、</w:t>
      </w:r>
      <w:r>
        <w:rPr>
          <w:rStyle w:val="8"/>
          <w:rFonts w:hint="eastAsia" w:ascii="方正仿宋_GB2312" w:hAnsi="方正仿宋_GB2312" w:eastAsia="方正仿宋_GB2312" w:cs="方正仿宋_GB2312"/>
          <w:bCs/>
          <w:color w:val="auto"/>
          <w:sz w:val="28"/>
          <w:szCs w:val="28"/>
          <w:shd w:val="clear" w:color="auto" w:fill="FFFFFF"/>
        </w:rPr>
        <w:t>接收条件</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申请转专业的学生需符合《河北政法职业学院转专业管理暂行办法》转专业基本条件的要求。</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有下列情形之一的，不予接收：</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（一）入学未满一学期或者毕业年级学生；</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（二）正在休学、保留学籍、保留入学资格的；</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（三）已达到退学条件的；</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（四）其他经学院审核认为不适合或者国家有相关规定的。</w:t>
      </w:r>
    </w:p>
    <w:p>
      <w:pPr>
        <w:pStyle w:val="5"/>
        <w:widowControl/>
        <w:shd w:val="clear" w:color="auto" w:fill="FFFFFF"/>
        <w:spacing w:beforeAutospacing="0" w:afterAutospacing="0" w:line="560" w:lineRule="exact"/>
        <w:ind w:firstLine="562" w:firstLineChars="200"/>
        <w:rPr>
          <w:rStyle w:val="8"/>
          <w:rFonts w:hint="eastAsia" w:ascii="方正仿宋_GB2312" w:hAnsi="方正仿宋_GB2312" w:eastAsia="方正仿宋_GB2312" w:cs="方正仿宋_GB2312"/>
          <w:bCs/>
          <w:color w:val="auto"/>
          <w:sz w:val="28"/>
          <w:szCs w:val="28"/>
          <w:shd w:val="clear" w:color="auto" w:fill="FFFFFF"/>
        </w:rPr>
      </w:pPr>
      <w:r>
        <w:rPr>
          <w:rStyle w:val="8"/>
          <w:rFonts w:hint="eastAsia" w:ascii="方正仿宋_GB2312" w:hAnsi="方正仿宋_GB2312" w:eastAsia="方正仿宋_GB2312" w:cs="方正仿宋_GB2312"/>
          <w:bCs/>
          <w:color w:val="auto"/>
          <w:sz w:val="28"/>
          <w:szCs w:val="28"/>
          <w:shd w:val="clear" w:color="auto" w:fill="FFFFFF"/>
        </w:rPr>
        <w:t>四、录取规则</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转专业成绩应由学生在校学习期间应修必修课平均成绩和各系选拔考核成绩两部分组成，学生没有考核不及格课程。在校学习期间应修必修课平均成绩占转专业总评成绩的70%，各系选拔面试成绩占转专业总评成绩的30%。接收系按转专业学生的最终总评成绩进行排序，依据接收计划，遵循“成绩优先”原则依次录取。选拔考核方式、内容根据各专业的培养目标和要求，组织实施选拔考核。</w:t>
      </w:r>
    </w:p>
    <w:tbl>
      <w:tblPr>
        <w:tblStyle w:val="6"/>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770"/>
        <w:gridCol w:w="3611"/>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70" w:type="dxa"/>
            <w:shd w:val="clear" w:color="auto" w:fill="auto"/>
            <w:tcMar>
              <w:top w:w="0" w:type="dxa"/>
              <w:left w:w="105" w:type="dxa"/>
              <w:bottom w:w="0" w:type="dxa"/>
              <w:right w:w="105" w:type="dxa"/>
            </w:tcMar>
            <w:vAlign w:val="center"/>
          </w:tcPr>
          <w:p>
            <w:pPr>
              <w:pStyle w:val="5"/>
              <w:widowControl/>
              <w:spacing w:beforeAutospacing="0" w:afterAutospacing="0" w:line="560" w:lineRule="exact"/>
              <w:ind w:firstLine="280" w:firstLineChars="100"/>
              <w:rPr>
                <w:rFonts w:ascii="仿宋" w:hAnsi="仿宋" w:eastAsia="仿宋" w:cs="仿宋"/>
                <w:color w:val="auto"/>
              </w:rPr>
            </w:pPr>
            <w:r>
              <w:rPr>
                <w:rFonts w:hint="eastAsia" w:ascii="仿宋" w:hAnsi="仿宋" w:eastAsia="仿宋" w:cs="仿宋"/>
                <w:color w:val="auto"/>
                <w:sz w:val="28"/>
                <w:szCs w:val="28"/>
              </w:rPr>
              <w:t>专业</w:t>
            </w:r>
          </w:p>
        </w:tc>
        <w:tc>
          <w:tcPr>
            <w:tcW w:w="3611" w:type="dxa"/>
            <w:shd w:val="clear" w:color="auto" w:fill="auto"/>
            <w:tcMar>
              <w:top w:w="0" w:type="dxa"/>
              <w:left w:w="105" w:type="dxa"/>
              <w:bottom w:w="0" w:type="dxa"/>
              <w:right w:w="105" w:type="dxa"/>
            </w:tcMar>
            <w:vAlign w:val="center"/>
          </w:tcPr>
          <w:p>
            <w:pPr>
              <w:pStyle w:val="5"/>
              <w:widowControl/>
              <w:spacing w:beforeAutospacing="0" w:afterAutospacing="0" w:line="560" w:lineRule="exact"/>
              <w:ind w:firstLine="1400" w:firstLineChars="500"/>
              <w:rPr>
                <w:rFonts w:ascii="仿宋" w:hAnsi="仿宋" w:eastAsia="仿宋" w:cs="仿宋"/>
                <w:color w:val="auto"/>
              </w:rPr>
            </w:pPr>
            <w:r>
              <w:rPr>
                <w:rFonts w:hint="eastAsia" w:ascii="仿宋" w:hAnsi="仿宋" w:eastAsia="仿宋" w:cs="仿宋"/>
                <w:color w:val="auto"/>
                <w:sz w:val="28"/>
                <w:szCs w:val="28"/>
              </w:rPr>
              <w:t>考核方式</w:t>
            </w:r>
          </w:p>
        </w:tc>
        <w:tc>
          <w:tcPr>
            <w:tcW w:w="2914" w:type="dxa"/>
            <w:shd w:val="clear" w:color="auto" w:fill="auto"/>
            <w:tcMar>
              <w:top w:w="0" w:type="dxa"/>
              <w:left w:w="105" w:type="dxa"/>
              <w:bottom w:w="0" w:type="dxa"/>
              <w:right w:w="105" w:type="dxa"/>
            </w:tcMar>
            <w:vAlign w:val="center"/>
          </w:tcPr>
          <w:p>
            <w:pPr>
              <w:pStyle w:val="5"/>
              <w:widowControl/>
              <w:spacing w:beforeAutospacing="0" w:afterAutospacing="0" w:line="560" w:lineRule="exact"/>
              <w:ind w:firstLine="560" w:firstLineChars="200"/>
              <w:rPr>
                <w:rFonts w:ascii="仿宋" w:hAnsi="仿宋" w:eastAsia="仿宋" w:cs="仿宋"/>
                <w:color w:val="auto"/>
              </w:rPr>
            </w:pPr>
            <w:r>
              <w:rPr>
                <w:rFonts w:hint="eastAsia" w:ascii="仿宋" w:hAnsi="仿宋" w:eastAsia="仿宋" w:cs="仿宋"/>
                <w:color w:val="auto"/>
                <w:sz w:val="28"/>
                <w:szCs w:val="28"/>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trPr>
        <w:tc>
          <w:tcPr>
            <w:tcW w:w="1770" w:type="dxa"/>
            <w:shd w:val="clear" w:color="auto" w:fill="auto"/>
            <w:tcMar>
              <w:top w:w="0" w:type="dxa"/>
              <w:left w:w="105" w:type="dxa"/>
              <w:bottom w:w="0" w:type="dxa"/>
              <w:right w:w="105" w:type="dxa"/>
            </w:tcMar>
            <w:vAlign w:val="center"/>
          </w:tcPr>
          <w:p>
            <w:pPr>
              <w:pStyle w:val="5"/>
              <w:widowControl/>
              <w:spacing w:beforeAutospacing="0" w:afterAutospacing="0" w:line="560" w:lineRule="exact"/>
              <w:rPr>
                <w:rFonts w:ascii="仿宋" w:hAnsi="仿宋" w:eastAsia="仿宋" w:cs="仿宋"/>
                <w:color w:val="auto"/>
              </w:rPr>
            </w:pPr>
            <w:r>
              <w:rPr>
                <w:rFonts w:hint="eastAsia" w:ascii="仿宋" w:hAnsi="仿宋" w:eastAsia="仿宋" w:cs="仿宋"/>
                <w:color w:val="auto"/>
              </w:rPr>
              <w:t>大数据与会计</w:t>
            </w:r>
          </w:p>
        </w:tc>
        <w:tc>
          <w:tcPr>
            <w:tcW w:w="3611"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w:t>
            </w:r>
            <w:r>
              <w:rPr>
                <w:rFonts w:ascii="仿宋" w:hAnsi="仿宋" w:eastAsia="仿宋" w:cs="仿宋"/>
                <w:color w:val="auto"/>
              </w:rPr>
              <w:t>.</w:t>
            </w:r>
            <w:r>
              <w:rPr>
                <w:rFonts w:hint="eastAsia" w:ascii="仿宋" w:hAnsi="仿宋" w:eastAsia="仿宋" w:cs="仿宋"/>
                <w:color w:val="auto"/>
              </w:rPr>
              <w:t>考核方式为面试</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2</w:t>
            </w:r>
            <w:r>
              <w:rPr>
                <w:rFonts w:ascii="仿宋" w:hAnsi="仿宋" w:eastAsia="仿宋" w:cs="仿宋"/>
                <w:color w:val="auto"/>
              </w:rPr>
              <w:t>.</w:t>
            </w:r>
            <w:r>
              <w:rPr>
                <w:rFonts w:hint="eastAsia" w:ascii="仿宋" w:hAnsi="仿宋" w:eastAsia="仿宋" w:cs="仿宋"/>
                <w:color w:val="auto"/>
              </w:rPr>
              <w:t>每组面试官由1名专业教师和1名辅导员共同担任。</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3</w:t>
            </w:r>
            <w:r>
              <w:rPr>
                <w:rFonts w:ascii="仿宋" w:hAnsi="仿宋" w:eastAsia="仿宋" w:cs="仿宋"/>
                <w:color w:val="auto"/>
              </w:rPr>
              <w:t>.</w:t>
            </w:r>
            <w:r>
              <w:rPr>
                <w:rFonts w:hint="eastAsia" w:ascii="仿宋" w:hAnsi="仿宋" w:eastAsia="仿宋" w:cs="仿宋"/>
                <w:color w:val="auto"/>
              </w:rPr>
              <w:t>考核环节包括：</w:t>
            </w:r>
          </w:p>
          <w:p>
            <w:pPr>
              <w:pStyle w:val="5"/>
              <w:widowControl/>
              <w:numPr>
                <w:ilvl w:val="0"/>
                <w:numId w:val="1"/>
              </w:numPr>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通知面试；（2）材料审核、基本信息查阅；（3）面试；（4）评审；（5）公布成绩。</w:t>
            </w:r>
          </w:p>
        </w:tc>
        <w:tc>
          <w:tcPr>
            <w:tcW w:w="2914"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考核内容包括自我介绍、专业认知、职业和学业生涯规划等。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70" w:type="dxa"/>
            <w:shd w:val="clear" w:color="auto" w:fill="auto"/>
            <w:tcMar>
              <w:top w:w="0" w:type="dxa"/>
              <w:left w:w="105" w:type="dxa"/>
              <w:bottom w:w="0" w:type="dxa"/>
              <w:right w:w="105" w:type="dxa"/>
            </w:tcMar>
            <w:vAlign w:val="center"/>
          </w:tcPr>
          <w:p>
            <w:pPr>
              <w:pStyle w:val="5"/>
              <w:widowControl/>
              <w:spacing w:beforeAutospacing="0" w:afterAutospacing="0" w:line="560" w:lineRule="exact"/>
              <w:rPr>
                <w:rFonts w:ascii="仿宋" w:hAnsi="仿宋" w:eastAsia="仿宋" w:cs="仿宋"/>
                <w:color w:val="auto"/>
              </w:rPr>
            </w:pPr>
            <w:r>
              <w:rPr>
                <w:rFonts w:hint="eastAsia" w:ascii="仿宋" w:hAnsi="仿宋" w:eastAsia="仿宋" w:cs="仿宋"/>
                <w:color w:val="auto"/>
              </w:rPr>
              <w:t>大数据与财务管理（注册会计师方向）</w:t>
            </w:r>
          </w:p>
        </w:tc>
        <w:tc>
          <w:tcPr>
            <w:tcW w:w="3611"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1.考核方式为面试</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2.每组面试官由1名专业教师和1名辅导员共同担任。</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3.考核环节包括</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（1）通知面试；（2）材料审核、基本信息查阅；（3）面试；（4）评审；（5）公布成绩。</w:t>
            </w:r>
          </w:p>
        </w:tc>
        <w:tc>
          <w:tcPr>
            <w:tcW w:w="2914"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考核内容包括自我介绍、专业认知、职业和学业生涯规划等。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70" w:type="dxa"/>
            <w:shd w:val="clear" w:color="auto" w:fill="auto"/>
            <w:tcMar>
              <w:top w:w="0" w:type="dxa"/>
              <w:left w:w="105" w:type="dxa"/>
              <w:bottom w:w="0" w:type="dxa"/>
              <w:right w:w="105" w:type="dxa"/>
            </w:tcMar>
            <w:vAlign w:val="center"/>
          </w:tcPr>
          <w:p>
            <w:pPr>
              <w:pStyle w:val="5"/>
              <w:widowControl/>
              <w:spacing w:beforeAutospacing="0" w:afterAutospacing="0" w:line="560" w:lineRule="exact"/>
              <w:rPr>
                <w:rFonts w:ascii="仿宋" w:hAnsi="仿宋" w:eastAsia="仿宋" w:cs="仿宋"/>
                <w:color w:val="auto"/>
              </w:rPr>
            </w:pPr>
            <w:r>
              <w:rPr>
                <w:rFonts w:hint="eastAsia" w:ascii="仿宋" w:hAnsi="仿宋" w:eastAsia="仿宋" w:cs="仿宋"/>
                <w:color w:val="auto"/>
              </w:rPr>
              <w:t>大数据与审计</w:t>
            </w:r>
          </w:p>
        </w:tc>
        <w:tc>
          <w:tcPr>
            <w:tcW w:w="3611"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1.考核方式为面试</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2.每组面试官由1名专业教师和1名辅导员共同担任。</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3.考核环节包括</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（1）通知面试；（2）材料审核、基本信息查阅；（3）面试；（4）评审；（5）公布成绩。</w:t>
            </w:r>
          </w:p>
        </w:tc>
        <w:tc>
          <w:tcPr>
            <w:tcW w:w="2914"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考核内容包括自我介绍、专业认知、职业和学业生涯规划等。</w:t>
            </w:r>
          </w:p>
          <w:p>
            <w:pPr>
              <w:pStyle w:val="5"/>
              <w:widowControl/>
              <w:spacing w:beforeAutospacing="0" w:afterAutospacing="0" w:line="560" w:lineRule="exact"/>
              <w:ind w:firstLine="480" w:firstLineChars="200"/>
              <w:jc w:val="center"/>
              <w:rPr>
                <w:rFonts w:ascii="仿宋" w:hAnsi="仿宋" w:eastAsia="仿宋" w:cs="仿宋"/>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770" w:type="dxa"/>
            <w:shd w:val="clear" w:color="auto" w:fill="auto"/>
            <w:tcMar>
              <w:top w:w="0" w:type="dxa"/>
              <w:left w:w="105" w:type="dxa"/>
              <w:bottom w:w="0" w:type="dxa"/>
              <w:right w:w="105" w:type="dxa"/>
            </w:tcMar>
            <w:vAlign w:val="center"/>
          </w:tcPr>
          <w:p>
            <w:pPr>
              <w:pStyle w:val="5"/>
              <w:widowControl/>
              <w:spacing w:beforeAutospacing="0" w:afterAutospacing="0" w:line="560" w:lineRule="exact"/>
              <w:rPr>
                <w:rFonts w:ascii="仿宋" w:hAnsi="仿宋" w:eastAsia="仿宋" w:cs="仿宋"/>
                <w:color w:val="auto"/>
              </w:rPr>
            </w:pPr>
            <w:r>
              <w:rPr>
                <w:rFonts w:hint="eastAsia" w:ascii="仿宋" w:hAnsi="仿宋" w:eastAsia="仿宋" w:cs="仿宋"/>
                <w:color w:val="auto"/>
              </w:rPr>
              <w:t>法律事务（法务会计方向）</w:t>
            </w:r>
          </w:p>
        </w:tc>
        <w:tc>
          <w:tcPr>
            <w:tcW w:w="3611"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1.考核方式为面试</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2.每组面试官由1名专业教师和1名辅导员共同担任。</w:t>
            </w:r>
          </w:p>
          <w:p>
            <w:pPr>
              <w:pStyle w:val="5"/>
              <w:widowControl/>
              <w:spacing w:beforeAutospacing="0" w:afterAutospacing="0" w:line="560" w:lineRule="exact"/>
              <w:jc w:val="both"/>
              <w:rPr>
                <w:rFonts w:hint="eastAsia" w:ascii="仿宋" w:hAnsi="仿宋" w:eastAsia="仿宋" w:cs="仿宋"/>
                <w:color w:val="auto"/>
              </w:rPr>
            </w:pPr>
            <w:r>
              <w:rPr>
                <w:rFonts w:hint="eastAsia" w:ascii="仿宋" w:hAnsi="仿宋" w:eastAsia="仿宋" w:cs="仿宋"/>
                <w:color w:val="auto"/>
              </w:rPr>
              <w:t>3.考核环节包</w:t>
            </w:r>
          </w:p>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（1）通知面试；（2）材料审核、基本信息查阅；（3）面试；（4）评审；（5）公布成绩。</w:t>
            </w:r>
          </w:p>
        </w:tc>
        <w:tc>
          <w:tcPr>
            <w:tcW w:w="2914" w:type="dxa"/>
            <w:shd w:val="clear" w:color="auto" w:fill="auto"/>
            <w:tcMar>
              <w:top w:w="0" w:type="dxa"/>
              <w:left w:w="105" w:type="dxa"/>
              <w:bottom w:w="0" w:type="dxa"/>
              <w:right w:w="105" w:type="dxa"/>
            </w:tcMar>
            <w:vAlign w:val="center"/>
          </w:tcPr>
          <w:p>
            <w:pPr>
              <w:pStyle w:val="5"/>
              <w:widowControl/>
              <w:spacing w:beforeAutospacing="0" w:afterAutospacing="0" w:line="560" w:lineRule="exact"/>
              <w:jc w:val="both"/>
              <w:rPr>
                <w:rFonts w:ascii="仿宋" w:hAnsi="仿宋" w:eastAsia="仿宋" w:cs="仿宋"/>
                <w:color w:val="auto"/>
              </w:rPr>
            </w:pPr>
            <w:r>
              <w:rPr>
                <w:rFonts w:hint="eastAsia" w:ascii="仿宋" w:hAnsi="仿宋" w:eastAsia="仿宋" w:cs="仿宋"/>
                <w:color w:val="auto"/>
              </w:rPr>
              <w:t>考核内容包括自我介绍、专业认知、职业和学业生涯规划等。</w:t>
            </w:r>
          </w:p>
          <w:p>
            <w:pPr>
              <w:pStyle w:val="5"/>
              <w:widowControl/>
              <w:spacing w:beforeAutospacing="0" w:afterAutospacing="0" w:line="560" w:lineRule="exact"/>
              <w:ind w:firstLine="480" w:firstLineChars="200"/>
              <w:jc w:val="center"/>
              <w:rPr>
                <w:rFonts w:ascii="仿宋" w:hAnsi="仿宋" w:eastAsia="仿宋" w:cs="仿宋"/>
                <w:color w:val="auto"/>
              </w:rPr>
            </w:pPr>
          </w:p>
        </w:tc>
      </w:tr>
    </w:tbl>
    <w:p>
      <w:pPr>
        <w:pStyle w:val="5"/>
        <w:widowControl/>
        <w:shd w:val="clear" w:color="auto" w:fill="FFFFFF"/>
        <w:spacing w:beforeAutospacing="0" w:afterAutospacing="0" w:line="560" w:lineRule="exact"/>
        <w:ind w:firstLine="562" w:firstLineChars="200"/>
        <w:rPr>
          <w:rFonts w:hint="eastAsia" w:ascii="方正仿宋_GB2312" w:hAnsi="方正仿宋_GB2312" w:eastAsia="方正仿宋_GB2312" w:cs="方正仿宋_GB2312"/>
          <w:b/>
          <w:bCs/>
          <w:color w:val="auto"/>
          <w:sz w:val="28"/>
          <w:szCs w:val="28"/>
          <w:shd w:val="clear" w:color="auto" w:fill="FFFFFF"/>
        </w:rPr>
      </w:pPr>
      <w:r>
        <w:rPr>
          <w:rFonts w:hint="eastAsia" w:ascii="方正仿宋_GB2312" w:hAnsi="方正仿宋_GB2312" w:eastAsia="方正仿宋_GB2312" w:cs="方正仿宋_GB2312"/>
          <w:b/>
          <w:bCs/>
          <w:color w:val="auto"/>
          <w:sz w:val="28"/>
          <w:szCs w:val="28"/>
          <w:shd w:val="clear" w:color="auto" w:fill="FFFFFF"/>
        </w:rPr>
        <w:t>五、工作程序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rPr>
        <w:t>1.</w:t>
      </w:r>
      <w:r>
        <w:rPr>
          <w:rFonts w:hint="eastAsia" w:ascii="方正仿宋_GB2312" w:hAnsi="方正仿宋_GB2312" w:eastAsia="方正仿宋_GB2312" w:cs="方正仿宋_GB2312"/>
          <w:color w:val="auto"/>
          <w:sz w:val="28"/>
          <w:szCs w:val="28"/>
          <w:shd w:val="clear" w:color="auto" w:fill="FFFFFF"/>
          <w:lang w:val="en-US" w:eastAsia="zh-CN"/>
        </w:rPr>
        <w:t>12月9日-12月15日：制订转专业细则并填写《各系各专业拟接收学生数》（附件1）报教务处备案；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lang w:val="en-US" w:eastAsia="zh-CN"/>
        </w:rPr>
        <w:t>2.12月16日-12月22日：教务处将转专业细则整理后在学院网站公布；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lang w:val="en-US" w:eastAsia="zh-CN"/>
        </w:rPr>
        <w:t>3.1</w:t>
      </w:r>
      <w:bookmarkStart w:id="0" w:name="_GoBack"/>
      <w:bookmarkEnd w:id="0"/>
      <w:r>
        <w:rPr>
          <w:rFonts w:hint="eastAsia" w:ascii="方正仿宋_GB2312" w:hAnsi="方正仿宋_GB2312" w:eastAsia="方正仿宋_GB2312" w:cs="方正仿宋_GB2312"/>
          <w:color w:val="auto"/>
          <w:sz w:val="28"/>
          <w:szCs w:val="28"/>
          <w:shd w:val="clear" w:color="auto" w:fill="FFFFFF"/>
          <w:lang w:val="en-US" w:eastAsia="zh-CN"/>
        </w:rPr>
        <w:t>2月23日-12月30日：解答学生咨询、组织学生报名，并对报名学生的</w:t>
      </w:r>
      <w:r>
        <w:rPr>
          <w:rFonts w:hint="eastAsia" w:ascii="方正仿宋_GB2312" w:hAnsi="方正仿宋_GB2312" w:eastAsia="方正仿宋_GB2312" w:cs="方正仿宋_GB2312"/>
          <w:color w:val="auto"/>
          <w:sz w:val="28"/>
          <w:szCs w:val="28"/>
          <w:shd w:val="clear" w:color="auto" w:fill="FFFFFF"/>
        </w:rPr>
        <w:t>转专业资格进行审</w:t>
      </w:r>
      <w:r>
        <w:rPr>
          <w:rFonts w:hint="eastAsia" w:ascii="方正仿宋_GB2312" w:hAnsi="方正仿宋_GB2312" w:eastAsia="方正仿宋_GB2312" w:cs="方正仿宋_GB2312"/>
          <w:color w:val="auto"/>
          <w:sz w:val="28"/>
          <w:szCs w:val="28"/>
          <w:shd w:val="clear" w:color="auto" w:fill="FFFFFF"/>
          <w:lang w:val="en-US" w:eastAsia="zh-CN"/>
        </w:rPr>
        <w:t xml:space="preserve">核，将符合条件的拟转学生名单（附件2）报教务处；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lang w:val="en-US" w:eastAsia="zh-CN"/>
        </w:rPr>
        <w:t>4.春季开学后第一周组织转专业选拔考试，</w:t>
      </w:r>
      <w:r>
        <w:rPr>
          <w:rFonts w:hint="eastAsia" w:ascii="方正仿宋_GB2312" w:hAnsi="方正仿宋_GB2312" w:eastAsia="方正仿宋_GB2312" w:cs="方正仿宋_GB2312"/>
          <w:color w:val="auto"/>
          <w:sz w:val="28"/>
          <w:szCs w:val="28"/>
          <w:shd w:val="clear" w:color="auto" w:fill="FFFFFF"/>
        </w:rPr>
        <w:t>根据财税法务系转专业实施细则，确定转专业学生名单并公示3日</w:t>
      </w:r>
      <w:r>
        <w:rPr>
          <w:rFonts w:hint="eastAsia" w:ascii="方正仿宋_GB2312" w:hAnsi="方正仿宋_GB2312" w:eastAsia="方正仿宋_GB2312" w:cs="方正仿宋_GB2312"/>
          <w:color w:val="auto"/>
          <w:sz w:val="28"/>
          <w:szCs w:val="28"/>
          <w:shd w:val="clear" w:color="auto" w:fill="FFFFFF"/>
          <w:lang w:eastAsia="zh-CN"/>
        </w:rPr>
        <w:t>，</w:t>
      </w:r>
      <w:r>
        <w:rPr>
          <w:rFonts w:hint="eastAsia" w:ascii="方正仿宋_GB2312" w:hAnsi="方正仿宋_GB2312" w:eastAsia="方正仿宋_GB2312" w:cs="方正仿宋_GB2312"/>
          <w:color w:val="auto"/>
          <w:sz w:val="28"/>
          <w:szCs w:val="28"/>
          <w:shd w:val="clear" w:color="auto" w:fill="FFFFFF"/>
          <w:lang w:val="en-US" w:eastAsia="zh-CN"/>
        </w:rPr>
        <w:t>公示结果报教务处（附件3）；</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color w:val="auto"/>
          <w:sz w:val="28"/>
          <w:szCs w:val="28"/>
          <w:shd w:val="clear" w:color="auto" w:fill="FFFFFF"/>
          <w:lang w:val="en-US" w:eastAsia="zh-CN"/>
        </w:rPr>
      </w:pPr>
      <w:r>
        <w:rPr>
          <w:rFonts w:hint="eastAsia" w:ascii="方正仿宋_GB2312" w:hAnsi="方正仿宋_GB2312" w:eastAsia="方正仿宋_GB2312" w:cs="方正仿宋_GB2312"/>
          <w:color w:val="auto"/>
          <w:sz w:val="28"/>
          <w:szCs w:val="28"/>
          <w:shd w:val="clear" w:color="auto" w:fill="FFFFFF"/>
          <w:lang w:val="en-US" w:eastAsia="zh-CN"/>
        </w:rPr>
        <w:t>5.春季开学后第二周教务处公示，公示无异议后，报学院审批；</w:t>
      </w:r>
    </w:p>
    <w:p>
      <w:pPr>
        <w:pStyle w:val="2"/>
        <w:ind w:left="0" w:leftChars="0" w:firstLine="560" w:firstLineChars="200"/>
        <w:rPr>
          <w:rFonts w:hint="eastAsia" w:ascii="方正仿宋_GB2312" w:hAnsi="方正仿宋_GB2312" w:eastAsia="方正仿宋_GB2312" w:cs="方正仿宋_GB2312"/>
          <w:b w:val="0"/>
          <w:bCs/>
          <w:color w:val="auto"/>
          <w:sz w:val="28"/>
          <w:szCs w:val="28"/>
          <w:lang w:val="en-US" w:eastAsia="zh-CN"/>
        </w:rPr>
      </w:pPr>
      <w:r>
        <w:rPr>
          <w:rFonts w:hint="eastAsia" w:ascii="方正仿宋_GB2312" w:hAnsi="方正仿宋_GB2312" w:eastAsia="方正仿宋_GB2312" w:cs="方正仿宋_GB2312"/>
          <w:b w:val="0"/>
          <w:bCs/>
          <w:color w:val="auto"/>
          <w:sz w:val="28"/>
          <w:szCs w:val="28"/>
          <w:shd w:val="clear" w:color="auto" w:fill="FFFFFF"/>
          <w:lang w:val="en-US" w:eastAsia="zh-CN"/>
        </w:rPr>
        <w:t>6.教务处公布转专业学生名单并办理转专业手续(填写附件4）。</w:t>
      </w:r>
    </w:p>
    <w:p>
      <w:pPr>
        <w:pStyle w:val="5"/>
        <w:widowControl/>
        <w:shd w:val="clear" w:color="auto" w:fill="FFFFFF"/>
        <w:spacing w:beforeAutospacing="0" w:afterAutospacing="0" w:line="560" w:lineRule="exact"/>
        <w:ind w:firstLine="562" w:firstLineChars="200"/>
        <w:rPr>
          <w:rFonts w:hint="eastAsia" w:ascii="方正仿宋_GB2312" w:hAnsi="方正仿宋_GB2312" w:eastAsia="方正仿宋_GB2312" w:cs="方正仿宋_GB2312"/>
          <w:color w:val="auto"/>
          <w:sz w:val="28"/>
          <w:szCs w:val="28"/>
        </w:rPr>
      </w:pPr>
      <w:r>
        <w:rPr>
          <w:rStyle w:val="8"/>
          <w:rFonts w:hint="eastAsia" w:ascii="方正仿宋_GB2312" w:hAnsi="方正仿宋_GB2312" w:eastAsia="方正仿宋_GB2312" w:cs="方正仿宋_GB2312"/>
          <w:bCs/>
          <w:color w:val="auto"/>
          <w:sz w:val="28"/>
          <w:szCs w:val="28"/>
          <w:shd w:val="clear" w:color="auto" w:fill="FFFFFF"/>
        </w:rPr>
        <w:t>六、工作要求</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转专业工作事关学生利益，各专业要高度重视，实施过程中，如发现弄虚作假等现象，将追究相关人员责任。</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咨询老师：付蕾</w:t>
      </w:r>
    </w:p>
    <w:p>
      <w:pPr>
        <w:pStyle w:val="5"/>
        <w:widowControl/>
        <w:shd w:val="clear" w:color="auto" w:fill="FFFFFF"/>
        <w:spacing w:beforeAutospacing="0" w:afterAutospacing="0" w:line="560" w:lineRule="exact"/>
        <w:ind w:firstLine="560" w:firstLineChars="2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咨询电话：17736911361</w:t>
      </w:r>
    </w:p>
    <w:p>
      <w:pPr>
        <w:pStyle w:val="5"/>
        <w:widowControl/>
        <w:shd w:val="clear" w:color="auto" w:fill="FFFFFF"/>
        <w:spacing w:beforeAutospacing="0" w:afterAutospacing="0" w:line="560" w:lineRule="exact"/>
        <w:ind w:right="1120"/>
        <w:rPr>
          <w:rFonts w:hint="eastAsia" w:ascii="方正仿宋_GB2312" w:hAnsi="方正仿宋_GB2312" w:eastAsia="方正仿宋_GB2312" w:cs="方正仿宋_GB2312"/>
          <w:color w:val="auto"/>
          <w:sz w:val="28"/>
          <w:szCs w:val="28"/>
          <w:shd w:val="clear" w:color="auto" w:fill="FFFFFF"/>
        </w:rPr>
      </w:pPr>
    </w:p>
    <w:p>
      <w:pPr>
        <w:pStyle w:val="5"/>
        <w:widowControl/>
        <w:shd w:val="clear" w:color="auto" w:fill="FFFFFF"/>
        <w:spacing w:beforeAutospacing="0" w:afterAutospacing="0" w:line="560" w:lineRule="exact"/>
        <w:ind w:right="1120" w:firstLine="1680" w:firstLineChars="600"/>
        <w:rPr>
          <w:rFonts w:hint="eastAsia" w:ascii="方正仿宋_GB2312" w:hAnsi="方正仿宋_GB2312" w:eastAsia="方正仿宋_GB2312" w:cs="方正仿宋_GB2312"/>
          <w:color w:val="auto"/>
          <w:sz w:val="28"/>
          <w:szCs w:val="28"/>
          <w:shd w:val="clear" w:color="auto" w:fill="FFFFFF"/>
        </w:rPr>
      </w:pPr>
      <w:r>
        <w:rPr>
          <w:rFonts w:hint="eastAsia" w:ascii="方正仿宋_GB2312" w:hAnsi="方正仿宋_GB2312" w:eastAsia="方正仿宋_GB2312" w:cs="方正仿宋_GB2312"/>
          <w:color w:val="auto"/>
          <w:sz w:val="28"/>
          <w:szCs w:val="28"/>
          <w:shd w:val="clear" w:color="auto" w:fill="FFFFFF"/>
        </w:rPr>
        <w:t xml:space="preserve">                       </w:t>
      </w:r>
      <w:r>
        <w:rPr>
          <w:rFonts w:hint="eastAsia" w:ascii="方正仿宋_GB2312" w:hAnsi="方正仿宋_GB2312" w:eastAsia="方正仿宋_GB2312" w:cs="方正仿宋_GB2312"/>
          <w:color w:val="auto"/>
          <w:sz w:val="28"/>
          <w:szCs w:val="28"/>
          <w:shd w:val="clear" w:color="auto" w:fill="FFFFFF"/>
          <w:lang w:val="en-US" w:eastAsia="zh-CN"/>
        </w:rPr>
        <w:t xml:space="preserve">   </w:t>
      </w:r>
      <w:r>
        <w:rPr>
          <w:rFonts w:hint="eastAsia" w:ascii="方正仿宋_GB2312" w:hAnsi="方正仿宋_GB2312" w:eastAsia="方正仿宋_GB2312" w:cs="方正仿宋_GB2312"/>
          <w:color w:val="auto"/>
          <w:sz w:val="28"/>
          <w:szCs w:val="28"/>
          <w:shd w:val="clear" w:color="auto" w:fill="FFFFFF"/>
        </w:rPr>
        <w:t>财税法务系</w:t>
      </w:r>
    </w:p>
    <w:p>
      <w:pPr>
        <w:pStyle w:val="5"/>
        <w:widowControl/>
        <w:shd w:val="clear" w:color="auto" w:fill="FFFFFF"/>
        <w:spacing w:beforeAutospacing="0" w:afterAutospacing="0" w:line="560" w:lineRule="exact"/>
        <w:ind w:right="1120" w:firstLine="4760" w:firstLineChars="1700"/>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shd w:val="clear" w:color="auto" w:fill="FFFFFF"/>
        </w:rPr>
        <w:t>202</w:t>
      </w:r>
      <w:r>
        <w:rPr>
          <w:rFonts w:hint="eastAsia" w:ascii="方正仿宋_GB2312" w:hAnsi="方正仿宋_GB2312" w:eastAsia="方正仿宋_GB2312" w:cs="方正仿宋_GB2312"/>
          <w:color w:val="auto"/>
          <w:sz w:val="28"/>
          <w:szCs w:val="28"/>
          <w:shd w:val="clear" w:color="auto" w:fill="FFFFFF"/>
          <w:lang w:val="en-US" w:eastAsia="zh-CN"/>
        </w:rPr>
        <w:t>4</w:t>
      </w:r>
      <w:r>
        <w:rPr>
          <w:rFonts w:hint="eastAsia" w:ascii="方正仿宋_GB2312" w:hAnsi="方正仿宋_GB2312" w:eastAsia="方正仿宋_GB2312" w:cs="方正仿宋_GB2312"/>
          <w:color w:val="auto"/>
          <w:sz w:val="28"/>
          <w:szCs w:val="28"/>
          <w:shd w:val="clear" w:color="auto" w:fill="FFFFFF"/>
        </w:rPr>
        <w:t>年12月</w:t>
      </w:r>
      <w:r>
        <w:rPr>
          <w:rFonts w:hint="eastAsia" w:ascii="方正仿宋_GB2312" w:hAnsi="方正仿宋_GB2312" w:eastAsia="方正仿宋_GB2312" w:cs="方正仿宋_GB2312"/>
          <w:color w:val="auto"/>
          <w:sz w:val="28"/>
          <w:szCs w:val="28"/>
          <w:shd w:val="clear" w:color="auto" w:fill="FFFFFF"/>
          <w:lang w:val="en-US" w:eastAsia="zh-CN"/>
        </w:rPr>
        <w:t>10</w:t>
      </w:r>
      <w:r>
        <w:rPr>
          <w:rFonts w:hint="eastAsia" w:ascii="方正仿宋_GB2312" w:hAnsi="方正仿宋_GB2312" w:eastAsia="方正仿宋_GB2312" w:cs="方正仿宋_GB2312"/>
          <w:color w:val="auto"/>
          <w:sz w:val="28"/>
          <w:szCs w:val="28"/>
          <w:shd w:val="clear" w:color="auto" w:fill="FFFFFF"/>
        </w:rPr>
        <w:t>日</w:t>
      </w:r>
    </w:p>
    <w:p>
      <w:pPr>
        <w:spacing w:line="560" w:lineRule="exact"/>
        <w:jc w:val="left"/>
        <w:rPr>
          <w:rFonts w:eastAsia="黑体"/>
          <w:b/>
          <w:bCs/>
          <w:color w:val="auto"/>
          <w:sz w:val="36"/>
        </w:rPr>
      </w:pPr>
    </w:p>
    <w:p>
      <w:pPr>
        <w:spacing w:line="560" w:lineRule="exact"/>
        <w:jc w:val="left"/>
        <w:rPr>
          <w:rFonts w:hint="eastAsia" w:eastAsia="黑体"/>
          <w:b/>
          <w:bCs/>
          <w:color w:val="auto"/>
          <w:sz w:val="36"/>
        </w:rPr>
      </w:pPr>
    </w:p>
    <w:p>
      <w:pPr>
        <w:pStyle w:val="2"/>
        <w:rPr>
          <w:rFonts w:hint="eastAsia" w:eastAsia="黑体"/>
          <w:b/>
          <w:bCs/>
          <w:color w:val="auto"/>
          <w:sz w:val="36"/>
        </w:rPr>
      </w:pPr>
    </w:p>
    <w:p>
      <w:pPr>
        <w:pStyle w:val="2"/>
        <w:ind w:left="0" w:leftChars="0" w:firstLine="0" w:firstLineChars="0"/>
        <w:rPr>
          <w:rFonts w:hint="eastAsia" w:eastAsia="黑体"/>
          <w:b/>
          <w:bCs/>
          <w:color w:val="auto"/>
          <w:sz w:val="36"/>
        </w:rPr>
      </w:pPr>
    </w:p>
    <w:p>
      <w:pPr>
        <w:rPr>
          <w:rFonts w:hint="eastAsia" w:eastAsia="黑体"/>
          <w:b/>
          <w:bCs/>
          <w:color w:val="auto"/>
          <w:sz w:val="36"/>
        </w:rPr>
      </w:pPr>
    </w:p>
    <w:p>
      <w:pPr>
        <w:rPr>
          <w:rFonts w:hint="eastAsia"/>
          <w:color w:val="auto"/>
        </w:rPr>
      </w:pPr>
    </w:p>
    <w:p>
      <w:pPr>
        <w:spacing w:line="560" w:lineRule="exact"/>
        <w:jc w:val="left"/>
        <w:rPr>
          <w:rFonts w:eastAsia="黑体"/>
          <w:b/>
          <w:bCs/>
          <w:color w:val="auto"/>
          <w:sz w:val="36"/>
        </w:rPr>
      </w:pPr>
      <w:r>
        <w:rPr>
          <w:rFonts w:hint="eastAsia" w:eastAsia="黑体"/>
          <w:b/>
          <w:bCs/>
          <w:color w:val="auto"/>
          <w:sz w:val="36"/>
        </w:rPr>
        <w:t>附件1</w:t>
      </w:r>
    </w:p>
    <w:p>
      <w:pPr>
        <w:jc w:val="center"/>
        <w:rPr>
          <w:rFonts w:eastAsia="黑体"/>
          <w:b/>
          <w:bCs/>
          <w:color w:val="auto"/>
          <w:sz w:val="36"/>
        </w:rPr>
      </w:pPr>
      <w:r>
        <w:rPr>
          <w:rFonts w:hint="eastAsia" w:eastAsia="黑体"/>
          <w:b/>
          <w:bCs/>
          <w:color w:val="auto"/>
          <w:sz w:val="36"/>
        </w:rPr>
        <w:t>河北政法职业学院转专业申请表</w:t>
      </w:r>
    </w:p>
    <w:tbl>
      <w:tblPr>
        <w:tblStyle w:val="6"/>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079"/>
        <w:gridCol w:w="360"/>
        <w:gridCol w:w="7"/>
        <w:gridCol w:w="707"/>
        <w:gridCol w:w="6"/>
        <w:gridCol w:w="988"/>
        <w:gridCol w:w="709"/>
        <w:gridCol w:w="2085"/>
        <w:gridCol w:w="41"/>
        <w:gridCol w:w="992"/>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2" w:type="dxa"/>
            <w:vAlign w:val="center"/>
          </w:tcPr>
          <w:p>
            <w:pPr>
              <w:spacing w:line="560" w:lineRule="exact"/>
              <w:rPr>
                <w:color w:val="auto"/>
                <w:sz w:val="24"/>
              </w:rPr>
            </w:pPr>
            <w:r>
              <w:rPr>
                <w:rFonts w:hint="eastAsia"/>
                <w:color w:val="auto"/>
                <w:sz w:val="24"/>
              </w:rPr>
              <w:t>姓名</w:t>
            </w:r>
          </w:p>
        </w:tc>
        <w:tc>
          <w:tcPr>
            <w:tcW w:w="1439" w:type="dxa"/>
            <w:gridSpan w:val="2"/>
            <w:vAlign w:val="center"/>
          </w:tcPr>
          <w:p>
            <w:pPr>
              <w:spacing w:line="560" w:lineRule="exact"/>
              <w:jc w:val="center"/>
              <w:rPr>
                <w:color w:val="auto"/>
                <w:sz w:val="24"/>
              </w:rPr>
            </w:pPr>
          </w:p>
        </w:tc>
        <w:tc>
          <w:tcPr>
            <w:tcW w:w="720" w:type="dxa"/>
            <w:gridSpan w:val="3"/>
            <w:vAlign w:val="center"/>
          </w:tcPr>
          <w:p>
            <w:pPr>
              <w:spacing w:line="560" w:lineRule="exact"/>
              <w:rPr>
                <w:color w:val="auto"/>
                <w:sz w:val="24"/>
              </w:rPr>
            </w:pPr>
            <w:r>
              <w:rPr>
                <w:rFonts w:hint="eastAsia"/>
                <w:color w:val="auto"/>
                <w:sz w:val="24"/>
              </w:rPr>
              <w:t>性别</w:t>
            </w:r>
          </w:p>
        </w:tc>
        <w:tc>
          <w:tcPr>
            <w:tcW w:w="988" w:type="dxa"/>
            <w:vAlign w:val="center"/>
          </w:tcPr>
          <w:p>
            <w:pPr>
              <w:spacing w:line="560" w:lineRule="exact"/>
              <w:jc w:val="center"/>
              <w:rPr>
                <w:color w:val="auto"/>
                <w:sz w:val="24"/>
              </w:rPr>
            </w:pPr>
          </w:p>
        </w:tc>
        <w:tc>
          <w:tcPr>
            <w:tcW w:w="709" w:type="dxa"/>
            <w:vAlign w:val="center"/>
          </w:tcPr>
          <w:p>
            <w:pPr>
              <w:spacing w:line="560" w:lineRule="exact"/>
              <w:rPr>
                <w:color w:val="auto"/>
                <w:sz w:val="24"/>
              </w:rPr>
            </w:pPr>
            <w:r>
              <w:rPr>
                <w:rFonts w:hint="eastAsia"/>
                <w:color w:val="auto"/>
                <w:sz w:val="24"/>
              </w:rPr>
              <w:t>学号</w:t>
            </w:r>
          </w:p>
        </w:tc>
        <w:tc>
          <w:tcPr>
            <w:tcW w:w="2085" w:type="dxa"/>
            <w:vAlign w:val="center"/>
          </w:tcPr>
          <w:p>
            <w:pPr>
              <w:spacing w:line="560" w:lineRule="exact"/>
              <w:jc w:val="center"/>
              <w:rPr>
                <w:color w:val="auto"/>
                <w:sz w:val="24"/>
              </w:rPr>
            </w:pPr>
          </w:p>
        </w:tc>
        <w:tc>
          <w:tcPr>
            <w:tcW w:w="1033" w:type="dxa"/>
            <w:gridSpan w:val="2"/>
            <w:vAlign w:val="center"/>
          </w:tcPr>
          <w:p>
            <w:pPr>
              <w:spacing w:line="560" w:lineRule="exact"/>
              <w:rPr>
                <w:color w:val="auto"/>
                <w:sz w:val="24"/>
              </w:rPr>
            </w:pPr>
            <w:r>
              <w:rPr>
                <w:rFonts w:hint="eastAsia"/>
                <w:color w:val="auto"/>
                <w:sz w:val="24"/>
              </w:rPr>
              <w:t>电话</w:t>
            </w:r>
          </w:p>
        </w:tc>
        <w:tc>
          <w:tcPr>
            <w:tcW w:w="2096" w:type="dxa"/>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55" w:type="dxa"/>
            <w:gridSpan w:val="5"/>
            <w:vAlign w:val="center"/>
          </w:tcPr>
          <w:p>
            <w:pPr>
              <w:spacing w:line="560" w:lineRule="exact"/>
              <w:rPr>
                <w:color w:val="auto"/>
                <w:sz w:val="24"/>
              </w:rPr>
            </w:pPr>
            <w:r>
              <w:rPr>
                <w:rFonts w:hint="eastAsia"/>
                <w:color w:val="auto"/>
                <w:sz w:val="24"/>
              </w:rPr>
              <w:t>应修必修课平均成绩</w:t>
            </w:r>
          </w:p>
        </w:tc>
        <w:tc>
          <w:tcPr>
            <w:tcW w:w="1703" w:type="dxa"/>
            <w:gridSpan w:val="3"/>
            <w:vAlign w:val="center"/>
          </w:tcPr>
          <w:p>
            <w:pPr>
              <w:spacing w:line="560" w:lineRule="exact"/>
              <w:jc w:val="center"/>
              <w:rPr>
                <w:color w:val="auto"/>
                <w:sz w:val="24"/>
              </w:rPr>
            </w:pPr>
          </w:p>
        </w:tc>
        <w:tc>
          <w:tcPr>
            <w:tcW w:w="3118" w:type="dxa"/>
            <w:gridSpan w:val="3"/>
            <w:vAlign w:val="center"/>
          </w:tcPr>
          <w:p>
            <w:pPr>
              <w:spacing w:line="560" w:lineRule="exact"/>
              <w:rPr>
                <w:color w:val="auto"/>
                <w:sz w:val="24"/>
              </w:rPr>
            </w:pPr>
            <w:r>
              <w:rPr>
                <w:rFonts w:hint="eastAsia"/>
                <w:color w:val="auto"/>
                <w:sz w:val="24"/>
              </w:rPr>
              <w:t>转专业选拔考核成绩</w:t>
            </w:r>
          </w:p>
        </w:tc>
        <w:tc>
          <w:tcPr>
            <w:tcW w:w="2096" w:type="dxa"/>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861" w:type="dxa"/>
            <w:gridSpan w:val="6"/>
            <w:vAlign w:val="center"/>
          </w:tcPr>
          <w:p>
            <w:pPr>
              <w:spacing w:line="560" w:lineRule="exact"/>
              <w:rPr>
                <w:color w:val="auto"/>
                <w:sz w:val="24"/>
              </w:rPr>
            </w:pPr>
            <w:r>
              <w:rPr>
                <w:rFonts w:hint="eastAsia"/>
                <w:color w:val="auto"/>
                <w:sz w:val="24"/>
              </w:rPr>
              <w:t>转专业总评成绩</w:t>
            </w:r>
          </w:p>
        </w:tc>
        <w:tc>
          <w:tcPr>
            <w:tcW w:w="1697" w:type="dxa"/>
            <w:gridSpan w:val="2"/>
            <w:vAlign w:val="center"/>
          </w:tcPr>
          <w:p>
            <w:pPr>
              <w:spacing w:line="560" w:lineRule="exact"/>
              <w:jc w:val="center"/>
              <w:rPr>
                <w:color w:val="auto"/>
                <w:sz w:val="24"/>
              </w:rPr>
            </w:pPr>
          </w:p>
        </w:tc>
        <w:tc>
          <w:tcPr>
            <w:tcW w:w="3118" w:type="dxa"/>
            <w:gridSpan w:val="3"/>
            <w:vAlign w:val="center"/>
          </w:tcPr>
          <w:p>
            <w:pPr>
              <w:spacing w:line="560" w:lineRule="exact"/>
              <w:rPr>
                <w:color w:val="auto"/>
                <w:sz w:val="24"/>
              </w:rPr>
            </w:pPr>
            <w:r>
              <w:rPr>
                <w:rFonts w:hint="eastAsia"/>
                <w:color w:val="auto"/>
                <w:sz w:val="24"/>
              </w:rPr>
              <w:t>转专业总评成绩排名</w:t>
            </w:r>
          </w:p>
        </w:tc>
        <w:tc>
          <w:tcPr>
            <w:tcW w:w="2096" w:type="dxa"/>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vAlign w:val="center"/>
          </w:tcPr>
          <w:p>
            <w:pPr>
              <w:spacing w:line="560" w:lineRule="exact"/>
              <w:rPr>
                <w:color w:val="auto"/>
                <w:sz w:val="24"/>
              </w:rPr>
            </w:pPr>
            <w:r>
              <w:rPr>
                <w:rFonts w:hint="eastAsia"/>
                <w:color w:val="auto"/>
                <w:sz w:val="24"/>
              </w:rPr>
              <w:t>原所在系</w:t>
            </w:r>
          </w:p>
        </w:tc>
        <w:tc>
          <w:tcPr>
            <w:tcW w:w="2410" w:type="dxa"/>
            <w:gridSpan w:val="4"/>
            <w:vAlign w:val="center"/>
          </w:tcPr>
          <w:p>
            <w:pPr>
              <w:spacing w:line="560" w:lineRule="exact"/>
              <w:jc w:val="center"/>
              <w:rPr>
                <w:color w:val="auto"/>
                <w:sz w:val="24"/>
              </w:rPr>
            </w:pPr>
          </w:p>
        </w:tc>
        <w:tc>
          <w:tcPr>
            <w:tcW w:w="2126" w:type="dxa"/>
            <w:gridSpan w:val="2"/>
            <w:vAlign w:val="center"/>
          </w:tcPr>
          <w:p>
            <w:pPr>
              <w:spacing w:line="560" w:lineRule="exact"/>
              <w:rPr>
                <w:color w:val="auto"/>
                <w:sz w:val="24"/>
              </w:rPr>
            </w:pPr>
            <w:r>
              <w:rPr>
                <w:rFonts w:hint="eastAsia"/>
                <w:color w:val="auto"/>
                <w:sz w:val="24"/>
              </w:rPr>
              <w:t>原专业班级</w:t>
            </w:r>
          </w:p>
        </w:tc>
        <w:tc>
          <w:tcPr>
            <w:tcW w:w="3088" w:type="dxa"/>
            <w:gridSpan w:val="2"/>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vAlign w:val="center"/>
          </w:tcPr>
          <w:p>
            <w:pPr>
              <w:spacing w:line="560" w:lineRule="exact"/>
              <w:rPr>
                <w:color w:val="auto"/>
                <w:sz w:val="24"/>
              </w:rPr>
            </w:pPr>
            <w:r>
              <w:rPr>
                <w:rFonts w:hint="eastAsia"/>
                <w:color w:val="auto"/>
                <w:sz w:val="24"/>
              </w:rPr>
              <w:t>申请转入系</w:t>
            </w:r>
          </w:p>
        </w:tc>
        <w:tc>
          <w:tcPr>
            <w:tcW w:w="2410" w:type="dxa"/>
            <w:gridSpan w:val="4"/>
            <w:vAlign w:val="center"/>
          </w:tcPr>
          <w:p>
            <w:pPr>
              <w:spacing w:line="560" w:lineRule="exact"/>
              <w:jc w:val="center"/>
              <w:rPr>
                <w:color w:val="auto"/>
                <w:sz w:val="24"/>
              </w:rPr>
            </w:pPr>
          </w:p>
        </w:tc>
        <w:tc>
          <w:tcPr>
            <w:tcW w:w="2126" w:type="dxa"/>
            <w:gridSpan w:val="2"/>
            <w:vAlign w:val="center"/>
          </w:tcPr>
          <w:p>
            <w:pPr>
              <w:spacing w:line="560" w:lineRule="exact"/>
              <w:rPr>
                <w:color w:val="auto"/>
                <w:sz w:val="24"/>
              </w:rPr>
            </w:pPr>
            <w:r>
              <w:rPr>
                <w:rFonts w:hint="eastAsia"/>
                <w:color w:val="auto"/>
                <w:sz w:val="24"/>
              </w:rPr>
              <w:t>申请转入专业</w:t>
            </w:r>
          </w:p>
        </w:tc>
        <w:tc>
          <w:tcPr>
            <w:tcW w:w="3088" w:type="dxa"/>
            <w:gridSpan w:val="2"/>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atLeast"/>
          <w:jc w:val="center"/>
        </w:trPr>
        <w:tc>
          <w:tcPr>
            <w:tcW w:w="1781" w:type="dxa"/>
            <w:gridSpan w:val="2"/>
            <w:vAlign w:val="center"/>
          </w:tcPr>
          <w:p>
            <w:pPr>
              <w:spacing w:line="560" w:lineRule="exact"/>
              <w:jc w:val="center"/>
              <w:rPr>
                <w:color w:val="auto"/>
                <w:sz w:val="24"/>
              </w:rPr>
            </w:pPr>
            <w:r>
              <w:rPr>
                <w:rFonts w:hint="eastAsia"/>
                <w:color w:val="auto"/>
                <w:sz w:val="24"/>
              </w:rPr>
              <w:t>申</w:t>
            </w:r>
          </w:p>
          <w:p>
            <w:pPr>
              <w:spacing w:line="560" w:lineRule="exact"/>
              <w:jc w:val="center"/>
              <w:rPr>
                <w:color w:val="auto"/>
                <w:sz w:val="24"/>
              </w:rPr>
            </w:pPr>
            <w:r>
              <w:rPr>
                <w:rFonts w:hint="eastAsia"/>
                <w:color w:val="auto"/>
                <w:sz w:val="24"/>
              </w:rPr>
              <w:t>请</w:t>
            </w:r>
          </w:p>
          <w:p>
            <w:pPr>
              <w:spacing w:line="560" w:lineRule="exact"/>
              <w:jc w:val="center"/>
              <w:rPr>
                <w:color w:val="auto"/>
                <w:sz w:val="24"/>
              </w:rPr>
            </w:pPr>
            <w:r>
              <w:rPr>
                <w:rFonts w:hint="eastAsia"/>
                <w:color w:val="auto"/>
                <w:sz w:val="24"/>
              </w:rPr>
              <w:t>理</w:t>
            </w:r>
          </w:p>
          <w:p>
            <w:pPr>
              <w:spacing w:line="560" w:lineRule="exact"/>
              <w:jc w:val="center"/>
              <w:rPr>
                <w:color w:val="auto"/>
                <w:sz w:val="24"/>
              </w:rPr>
            </w:pPr>
            <w:r>
              <w:rPr>
                <w:rFonts w:hint="eastAsia"/>
                <w:color w:val="auto"/>
                <w:sz w:val="24"/>
              </w:rPr>
              <w:t>由</w:t>
            </w:r>
          </w:p>
        </w:tc>
        <w:tc>
          <w:tcPr>
            <w:tcW w:w="7991" w:type="dxa"/>
            <w:gridSpan w:val="10"/>
            <w:vAlign w:val="center"/>
          </w:tcPr>
          <w:p>
            <w:pPr>
              <w:spacing w:line="560" w:lineRule="exact"/>
              <w:jc w:val="center"/>
              <w:rPr>
                <w:color w:val="auto"/>
                <w:sz w:val="24"/>
              </w:rPr>
            </w:pPr>
          </w:p>
          <w:p>
            <w:pPr>
              <w:spacing w:line="560" w:lineRule="exact"/>
              <w:jc w:val="center"/>
              <w:rPr>
                <w:color w:val="auto"/>
                <w:sz w:val="24"/>
              </w:rPr>
            </w:pPr>
          </w:p>
          <w:p>
            <w:pPr>
              <w:spacing w:line="560" w:lineRule="exact"/>
              <w:jc w:val="center"/>
              <w:rPr>
                <w:color w:val="auto"/>
                <w:sz w:val="24"/>
              </w:rPr>
            </w:pPr>
            <w:r>
              <w:rPr>
                <w:rFonts w:hint="eastAsia"/>
                <w:color w:val="auto"/>
                <w:sz w:val="24"/>
              </w:rPr>
              <w:t>申请人签字：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1781" w:type="dxa"/>
            <w:gridSpan w:val="2"/>
            <w:vAlign w:val="center"/>
          </w:tcPr>
          <w:p>
            <w:pPr>
              <w:spacing w:line="560" w:lineRule="exact"/>
              <w:jc w:val="center"/>
              <w:rPr>
                <w:color w:val="auto"/>
                <w:sz w:val="24"/>
              </w:rPr>
            </w:pPr>
            <w:r>
              <w:rPr>
                <w:rFonts w:hint="eastAsia"/>
                <w:color w:val="auto"/>
                <w:sz w:val="24"/>
              </w:rPr>
              <w:t>学生原所</w:t>
            </w:r>
          </w:p>
          <w:p>
            <w:pPr>
              <w:spacing w:line="560" w:lineRule="exact"/>
              <w:jc w:val="center"/>
              <w:rPr>
                <w:color w:val="auto"/>
                <w:sz w:val="24"/>
              </w:rPr>
            </w:pPr>
            <w:r>
              <w:rPr>
                <w:rFonts w:hint="eastAsia"/>
                <w:color w:val="auto"/>
                <w:sz w:val="24"/>
              </w:rPr>
              <w:t>在系意见</w:t>
            </w:r>
          </w:p>
        </w:tc>
        <w:tc>
          <w:tcPr>
            <w:tcW w:w="7991" w:type="dxa"/>
            <w:gridSpan w:val="10"/>
            <w:vAlign w:val="center"/>
          </w:tcPr>
          <w:p>
            <w:pPr>
              <w:spacing w:line="560" w:lineRule="exact"/>
              <w:jc w:val="center"/>
              <w:rPr>
                <w:color w:val="auto"/>
                <w:sz w:val="24"/>
              </w:rPr>
            </w:pPr>
          </w:p>
          <w:p>
            <w:pPr>
              <w:spacing w:line="560" w:lineRule="exact"/>
              <w:jc w:val="center"/>
              <w:rPr>
                <w:color w:val="auto"/>
                <w:sz w:val="24"/>
              </w:rPr>
            </w:pPr>
            <w:r>
              <w:rPr>
                <w:rFonts w:hint="eastAsia"/>
                <w:color w:val="auto"/>
                <w:sz w:val="24"/>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1781" w:type="dxa"/>
            <w:gridSpan w:val="2"/>
            <w:vAlign w:val="center"/>
          </w:tcPr>
          <w:p>
            <w:pPr>
              <w:spacing w:line="560" w:lineRule="exact"/>
              <w:jc w:val="center"/>
              <w:rPr>
                <w:color w:val="auto"/>
                <w:sz w:val="24"/>
              </w:rPr>
            </w:pPr>
            <w:r>
              <w:rPr>
                <w:rFonts w:hint="eastAsia"/>
                <w:color w:val="auto"/>
                <w:sz w:val="24"/>
              </w:rPr>
              <w:t>转入系</w:t>
            </w:r>
          </w:p>
          <w:p>
            <w:pPr>
              <w:spacing w:line="560" w:lineRule="exact"/>
              <w:jc w:val="center"/>
              <w:rPr>
                <w:color w:val="auto"/>
                <w:sz w:val="24"/>
              </w:rPr>
            </w:pPr>
            <w:r>
              <w:rPr>
                <w:color w:val="auto"/>
                <w:sz w:val="24"/>
              </w:rPr>
              <w:t>意见</w:t>
            </w:r>
          </w:p>
        </w:tc>
        <w:tc>
          <w:tcPr>
            <w:tcW w:w="7991" w:type="dxa"/>
            <w:gridSpan w:val="10"/>
            <w:vAlign w:val="center"/>
          </w:tcPr>
          <w:p>
            <w:pPr>
              <w:spacing w:line="560" w:lineRule="exact"/>
              <w:jc w:val="center"/>
              <w:rPr>
                <w:color w:val="auto"/>
                <w:sz w:val="24"/>
              </w:rPr>
            </w:pPr>
          </w:p>
          <w:p>
            <w:pPr>
              <w:spacing w:line="560" w:lineRule="exact"/>
              <w:jc w:val="center"/>
              <w:rPr>
                <w:color w:val="auto"/>
                <w:sz w:val="24"/>
              </w:rPr>
            </w:pPr>
          </w:p>
          <w:p>
            <w:pPr>
              <w:spacing w:line="560" w:lineRule="exact"/>
              <w:jc w:val="center"/>
              <w:rPr>
                <w:color w:val="auto"/>
                <w:sz w:val="24"/>
              </w:rPr>
            </w:pPr>
            <w:r>
              <w:rPr>
                <w:rFonts w:hint="eastAsia"/>
                <w:color w:val="auto"/>
                <w:sz w:val="24"/>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0" w:hRule="atLeast"/>
          <w:jc w:val="center"/>
        </w:trPr>
        <w:tc>
          <w:tcPr>
            <w:tcW w:w="1781" w:type="dxa"/>
            <w:gridSpan w:val="2"/>
            <w:vAlign w:val="center"/>
          </w:tcPr>
          <w:p>
            <w:pPr>
              <w:spacing w:line="560" w:lineRule="exact"/>
              <w:jc w:val="center"/>
              <w:rPr>
                <w:color w:val="auto"/>
                <w:sz w:val="24"/>
              </w:rPr>
            </w:pPr>
            <w:r>
              <w:rPr>
                <w:rFonts w:hint="eastAsia"/>
                <w:color w:val="auto"/>
                <w:sz w:val="24"/>
              </w:rPr>
              <w:t>教务处</w:t>
            </w:r>
          </w:p>
          <w:p>
            <w:pPr>
              <w:spacing w:line="560" w:lineRule="exact"/>
              <w:jc w:val="center"/>
              <w:rPr>
                <w:color w:val="auto"/>
                <w:sz w:val="24"/>
              </w:rPr>
            </w:pPr>
            <w:r>
              <w:rPr>
                <w:rFonts w:hint="eastAsia"/>
                <w:color w:val="auto"/>
                <w:sz w:val="24"/>
              </w:rPr>
              <w:t>意见</w:t>
            </w:r>
          </w:p>
        </w:tc>
        <w:tc>
          <w:tcPr>
            <w:tcW w:w="7991" w:type="dxa"/>
            <w:gridSpan w:val="10"/>
            <w:vAlign w:val="center"/>
          </w:tcPr>
          <w:p>
            <w:pPr>
              <w:spacing w:line="560" w:lineRule="exact"/>
              <w:jc w:val="center"/>
              <w:rPr>
                <w:color w:val="auto"/>
                <w:sz w:val="24"/>
              </w:rPr>
            </w:pPr>
          </w:p>
          <w:p>
            <w:pPr>
              <w:spacing w:line="560" w:lineRule="exact"/>
              <w:jc w:val="center"/>
              <w:rPr>
                <w:color w:val="auto"/>
                <w:sz w:val="24"/>
              </w:rPr>
            </w:pPr>
            <w:r>
              <w:rPr>
                <w:rFonts w:hint="eastAsia"/>
                <w:color w:val="auto"/>
                <w:sz w:val="24"/>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7" w:hRule="atLeast"/>
          <w:jc w:val="center"/>
        </w:trPr>
        <w:tc>
          <w:tcPr>
            <w:tcW w:w="1781" w:type="dxa"/>
            <w:gridSpan w:val="2"/>
            <w:vAlign w:val="center"/>
          </w:tcPr>
          <w:p>
            <w:pPr>
              <w:spacing w:line="560" w:lineRule="exact"/>
              <w:jc w:val="center"/>
              <w:rPr>
                <w:color w:val="auto"/>
                <w:sz w:val="24"/>
              </w:rPr>
            </w:pPr>
            <w:r>
              <w:rPr>
                <w:rFonts w:hint="eastAsia"/>
                <w:color w:val="auto"/>
                <w:sz w:val="24"/>
              </w:rPr>
              <w:t>院领导</w:t>
            </w:r>
          </w:p>
          <w:p>
            <w:pPr>
              <w:spacing w:line="560" w:lineRule="exact"/>
              <w:jc w:val="center"/>
              <w:rPr>
                <w:color w:val="auto"/>
                <w:sz w:val="24"/>
              </w:rPr>
            </w:pPr>
            <w:r>
              <w:rPr>
                <w:rFonts w:hint="eastAsia"/>
                <w:color w:val="auto"/>
                <w:sz w:val="24"/>
              </w:rPr>
              <w:t>意见</w:t>
            </w:r>
          </w:p>
        </w:tc>
        <w:tc>
          <w:tcPr>
            <w:tcW w:w="7991" w:type="dxa"/>
            <w:gridSpan w:val="10"/>
            <w:vAlign w:val="center"/>
          </w:tcPr>
          <w:p>
            <w:pPr>
              <w:spacing w:line="56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81" w:type="dxa"/>
            <w:gridSpan w:val="2"/>
            <w:vAlign w:val="center"/>
          </w:tcPr>
          <w:p>
            <w:pPr>
              <w:spacing w:line="560" w:lineRule="exact"/>
              <w:jc w:val="center"/>
              <w:rPr>
                <w:color w:val="auto"/>
                <w:sz w:val="24"/>
              </w:rPr>
            </w:pPr>
            <w:r>
              <w:rPr>
                <w:rFonts w:hint="eastAsia"/>
                <w:color w:val="auto"/>
                <w:sz w:val="24"/>
              </w:rPr>
              <w:t>备注</w:t>
            </w:r>
          </w:p>
        </w:tc>
        <w:tc>
          <w:tcPr>
            <w:tcW w:w="7991" w:type="dxa"/>
            <w:gridSpan w:val="10"/>
            <w:vAlign w:val="center"/>
          </w:tcPr>
          <w:p>
            <w:pPr>
              <w:spacing w:line="560" w:lineRule="exact"/>
              <w:jc w:val="center"/>
              <w:rPr>
                <w:color w:val="auto"/>
                <w:sz w:val="24"/>
              </w:rPr>
            </w:pPr>
          </w:p>
        </w:tc>
      </w:tr>
    </w:tbl>
    <w:p>
      <w:pPr>
        <w:spacing w:line="320" w:lineRule="exact"/>
        <w:jc w:val="left"/>
        <w:rPr>
          <w:color w:val="auto"/>
          <w:szCs w:val="21"/>
        </w:rPr>
      </w:pPr>
      <w:r>
        <w:rPr>
          <w:rFonts w:hint="eastAsia"/>
          <w:color w:val="auto"/>
          <w:szCs w:val="21"/>
        </w:rPr>
        <w:t>注：1、此表一式两份，教务处留存一份，接收系放入学生档案一份</w:t>
      </w:r>
    </w:p>
    <w:p>
      <w:pPr>
        <w:spacing w:line="320" w:lineRule="exact"/>
        <w:ind w:firstLine="420" w:firstLineChars="200"/>
        <w:jc w:val="left"/>
        <w:rPr>
          <w:color w:val="auto"/>
        </w:rPr>
      </w:pPr>
      <w:r>
        <w:rPr>
          <w:color w:val="auto"/>
          <w:szCs w:val="21"/>
        </w:rPr>
        <w:t>2</w:t>
      </w:r>
      <w:r>
        <w:rPr>
          <w:rFonts w:hint="eastAsia"/>
          <w:color w:val="auto"/>
          <w:szCs w:val="21"/>
        </w:rPr>
        <w:t>、专业</w:t>
      </w:r>
      <w:r>
        <w:rPr>
          <w:color w:val="auto"/>
          <w:szCs w:val="21"/>
        </w:rPr>
        <w:t>名称</w:t>
      </w:r>
      <w:r>
        <w:rPr>
          <w:rFonts w:hint="eastAsia"/>
          <w:color w:val="auto"/>
          <w:szCs w:val="21"/>
        </w:rPr>
        <w:t>必须</w:t>
      </w:r>
      <w:r>
        <w:rPr>
          <w:color w:val="auto"/>
          <w:szCs w:val="21"/>
        </w:rPr>
        <w:t>写全称，不得</w:t>
      </w:r>
      <w:r>
        <w:rPr>
          <w:rFonts w:hint="eastAsia"/>
          <w:color w:val="auto"/>
          <w:szCs w:val="21"/>
        </w:rPr>
        <w:t>写</w:t>
      </w:r>
      <w:r>
        <w:rPr>
          <w:color w:val="auto"/>
          <w:szCs w:val="21"/>
        </w:rPr>
        <w:t>简称。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F849BE-AC81-4B8A-B9F0-622112A91B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2" w:fontKey="{8148CC58-0CD0-42B2-8AA8-1294F36B3C46}"/>
  </w:font>
  <w:font w:name="方正小标宋简体">
    <w:panose1 w:val="03000509000000000000"/>
    <w:charset w:val="86"/>
    <w:family w:val="script"/>
    <w:pitch w:val="default"/>
    <w:sig w:usb0="00000001" w:usb1="080E0000" w:usb2="00000000" w:usb3="00000000" w:csb0="00040000" w:csb1="00000000"/>
    <w:embedRegular r:id="rId3" w:fontKey="{6C78F053-20BB-49EB-A26A-FF7E438C3B50}"/>
  </w:font>
  <w:font w:name="方正仿宋_GB2312">
    <w:panose1 w:val="02000000000000000000"/>
    <w:charset w:val="86"/>
    <w:family w:val="auto"/>
    <w:pitch w:val="default"/>
    <w:sig w:usb0="A00002BF" w:usb1="184F6CFA" w:usb2="00000012" w:usb3="00000000" w:csb0="00040001" w:csb1="00000000"/>
    <w:embedRegular r:id="rId4" w:fontKey="{D6C78A92-E577-4BC4-8A46-95FA4C12B2EA}"/>
  </w:font>
  <w:font w:name="仿宋">
    <w:panose1 w:val="02010609060101010101"/>
    <w:charset w:val="86"/>
    <w:family w:val="modern"/>
    <w:pitch w:val="default"/>
    <w:sig w:usb0="800002BF" w:usb1="38CF7CFA" w:usb2="00000016" w:usb3="00000000" w:csb0="00040001" w:csb1="00000000"/>
    <w:embedRegular r:id="rId5" w:fontKey="{DD9E48E8-186D-4019-B76C-09C86C661DC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0MTU5YzFmNWU2ZmI5ZWYzYWFlNGExZjg0NjRlNDUifQ=="/>
  </w:docVars>
  <w:rsids>
    <w:rsidRoot w:val="00596BF0"/>
    <w:rsid w:val="000008FA"/>
    <w:rsid w:val="000901E5"/>
    <w:rsid w:val="00113FF7"/>
    <w:rsid w:val="001B1366"/>
    <w:rsid w:val="002365B4"/>
    <w:rsid w:val="0024372B"/>
    <w:rsid w:val="00331265"/>
    <w:rsid w:val="00396240"/>
    <w:rsid w:val="004577DE"/>
    <w:rsid w:val="004C4C03"/>
    <w:rsid w:val="004F537E"/>
    <w:rsid w:val="00517D81"/>
    <w:rsid w:val="005808EC"/>
    <w:rsid w:val="00596BF0"/>
    <w:rsid w:val="00716270"/>
    <w:rsid w:val="00743566"/>
    <w:rsid w:val="007508E6"/>
    <w:rsid w:val="007E6F35"/>
    <w:rsid w:val="00831BF7"/>
    <w:rsid w:val="008E4E63"/>
    <w:rsid w:val="009340A2"/>
    <w:rsid w:val="00965852"/>
    <w:rsid w:val="009B27D0"/>
    <w:rsid w:val="009D7D52"/>
    <w:rsid w:val="00A83832"/>
    <w:rsid w:val="00C3437D"/>
    <w:rsid w:val="00C73F2E"/>
    <w:rsid w:val="00E47B6F"/>
    <w:rsid w:val="00E77622"/>
    <w:rsid w:val="00F5651E"/>
    <w:rsid w:val="07C11E97"/>
    <w:rsid w:val="0F0E7E48"/>
    <w:rsid w:val="1763479D"/>
    <w:rsid w:val="1ACB4B33"/>
    <w:rsid w:val="1D305121"/>
    <w:rsid w:val="23C12EE0"/>
    <w:rsid w:val="2DDA0CF5"/>
    <w:rsid w:val="3E3E7246"/>
    <w:rsid w:val="3FC750BA"/>
    <w:rsid w:val="4FB05716"/>
    <w:rsid w:val="50265D8C"/>
    <w:rsid w:val="5BE865EB"/>
    <w:rsid w:val="689B2F2E"/>
    <w:rsid w:val="7500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autoRedefine/>
    <w:qFormat/>
    <w:uiPriority w:val="0"/>
    <w:pPr>
      <w:keepNext/>
      <w:keepLines/>
      <w:spacing w:before="140" w:after="140" w:line="413" w:lineRule="auto"/>
      <w:ind w:left="300" w:leftChars="300"/>
      <w:jc w:val="left"/>
      <w:outlineLvl w:val="1"/>
    </w:pPr>
    <w:rPr>
      <w:rFonts w:ascii="Arial" w:hAnsi="Arial" w:eastAsia="楷体"/>
      <w:b/>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customStyle="1" w:styleId="9">
    <w:name w:val="页眉 字符"/>
    <w:basedOn w:val="7"/>
    <w:link w:val="4"/>
    <w:autoRedefine/>
    <w:qFormat/>
    <w:uiPriority w:val="99"/>
    <w:rPr>
      <w:rFonts w:ascii="Calibri" w:hAnsi="Calibri" w:cs="宋体"/>
      <w:kern w:val="2"/>
      <w:sz w:val="18"/>
      <w:szCs w:val="18"/>
    </w:rPr>
  </w:style>
  <w:style w:type="character" w:customStyle="1" w:styleId="10">
    <w:name w:val="页脚 字符"/>
    <w:basedOn w:val="7"/>
    <w:link w:val="3"/>
    <w:autoRedefine/>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1636</Words>
  <Characters>1699</Characters>
  <Lines>13</Lines>
  <Paragraphs>3</Paragraphs>
  <TotalTime>7</TotalTime>
  <ScaleCrop>false</ScaleCrop>
  <LinksUpToDate>false</LinksUpToDate>
  <CharactersWithSpaces>1818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2022-12-11T10:26:00Z</dcterms:created>
  <dc:creator>HP</dc:creator>
  <cp:lastModifiedBy>秋乐儿</cp:lastModifiedBy>
  <dcterms:modified xsi:type="dcterms:W3CDTF">2024-12-13T01:47:15Z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8F1D27508B8C4DC3812CE07009653C73_13</vt:lpwstr>
  </property>
</Properties>
</file>