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A89BFF">
      <w:pPr>
        <w:pStyle w:val="3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721" w:firstLineChars="200"/>
        <w:jc w:val="center"/>
        <w:textAlignment w:val="auto"/>
        <w:rPr>
          <w:rFonts w:hint="eastAsia" w:ascii="华文中宋" w:hAnsi="华文中宋" w:eastAsia="华文中宋" w:cs="华文中宋"/>
          <w:b/>
          <w:bCs/>
          <w:color w:val="000000"/>
          <w:sz w:val="36"/>
          <w:szCs w:val="36"/>
          <w:shd w:val="clear" w:color="auto" w:fill="FFFFFF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color w:val="000000"/>
          <w:sz w:val="36"/>
          <w:szCs w:val="36"/>
          <w:shd w:val="clear" w:color="auto" w:fill="FFFFFF"/>
          <w:lang w:val="en-US" w:eastAsia="zh-CN"/>
        </w:rPr>
        <w:t>经贸法务系</w:t>
      </w:r>
    </w:p>
    <w:p w14:paraId="379C9892">
      <w:pPr>
        <w:pStyle w:val="3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721" w:firstLineChars="200"/>
        <w:jc w:val="center"/>
        <w:textAlignment w:val="auto"/>
        <w:rPr>
          <w:rFonts w:hint="eastAsia" w:ascii="华文中宋" w:hAnsi="华文中宋" w:eastAsia="华文中宋" w:cs="华文中宋"/>
          <w:b/>
          <w:bCs/>
          <w:color w:val="000000"/>
          <w:sz w:val="36"/>
          <w:szCs w:val="36"/>
          <w:shd w:val="clear" w:color="auto" w:fill="FFFFFF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color w:val="000000"/>
          <w:sz w:val="36"/>
          <w:szCs w:val="36"/>
          <w:shd w:val="clear" w:color="auto" w:fill="FFFFFF"/>
        </w:rPr>
        <w:t>关于</w:t>
      </w:r>
      <w:r>
        <w:rPr>
          <w:rFonts w:hint="eastAsia" w:ascii="华文中宋" w:hAnsi="华文中宋" w:eastAsia="华文中宋" w:cs="方正小标宋简体"/>
          <w:b/>
          <w:sz w:val="36"/>
          <w:szCs w:val="36"/>
        </w:rPr>
        <w:t>学生转专业管理</w:t>
      </w:r>
      <w:r>
        <w:rPr>
          <w:rFonts w:hint="eastAsia" w:ascii="华文中宋" w:hAnsi="华文中宋" w:eastAsia="华文中宋" w:cs="华文中宋"/>
          <w:b/>
          <w:bCs/>
          <w:color w:val="000000"/>
          <w:sz w:val="36"/>
          <w:szCs w:val="36"/>
          <w:shd w:val="clear" w:color="auto" w:fill="FFFFFF"/>
          <w:lang w:val="en-US" w:eastAsia="zh-CN"/>
        </w:rPr>
        <w:t>实施细则</w:t>
      </w:r>
    </w:p>
    <w:p w14:paraId="74797757">
      <w:pPr>
        <w:pStyle w:val="3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721" w:firstLineChars="200"/>
        <w:jc w:val="center"/>
        <w:textAlignment w:val="auto"/>
        <w:rPr>
          <w:rFonts w:hint="eastAsia" w:ascii="华文中宋" w:hAnsi="华文中宋" w:eastAsia="华文中宋" w:cs="华文中宋"/>
          <w:b/>
          <w:bCs/>
          <w:color w:val="000000"/>
          <w:sz w:val="36"/>
          <w:szCs w:val="36"/>
          <w:shd w:val="clear" w:color="auto" w:fill="FFFFFF"/>
          <w:lang w:val="en-US" w:eastAsia="zh-CN"/>
        </w:rPr>
      </w:pPr>
    </w:p>
    <w:p w14:paraId="22AFE192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为充分调动学生学习的主动性和积极性，有利于学生个性发展和特长的发挥，根据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《河北政法职业学院转专业管理暂行办法》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的规定，制定本实施细则。</w:t>
      </w:r>
    </w:p>
    <w:p w14:paraId="44E59404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562" w:firstLineChars="200"/>
        <w:textAlignment w:val="auto"/>
        <w:rPr>
          <w:rFonts w:hint="eastAsia" w:ascii="微软雅黑" w:hAnsi="微软雅黑" w:eastAsia="微软雅黑" w:cs="微软雅黑"/>
          <w:color w:val="666666"/>
          <w:sz w:val="21"/>
          <w:szCs w:val="21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一、组织机构</w:t>
      </w:r>
    </w:p>
    <w:p w14:paraId="104B24A8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领导小组：经贸法务系2024级学生转专业领导小组</w:t>
      </w:r>
    </w:p>
    <w:p w14:paraId="3ECA0B59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组  长：赵亚辉、刘福琪、张银霞</w:t>
      </w:r>
    </w:p>
    <w:p w14:paraId="04DAA567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副组长：王硕、胡晓筝、梁肖、牛晓惠</w:t>
      </w:r>
    </w:p>
    <w:p w14:paraId="56B235DA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成  员：李贺磊、王琛</w:t>
      </w:r>
    </w:p>
    <w:p w14:paraId="0603F001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562" w:firstLineChars="200"/>
        <w:textAlignment w:val="auto"/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二、接收计划</w:t>
      </w:r>
    </w:p>
    <w:p w14:paraId="7007875F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转专业接收计划人数按本专业学生人数的10%-15%确定，具体指标分配如下：</w:t>
      </w:r>
    </w:p>
    <w:tbl>
      <w:tblPr>
        <w:tblStyle w:val="4"/>
        <w:tblW w:w="88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946"/>
        <w:gridCol w:w="2820"/>
        <w:gridCol w:w="3034"/>
      </w:tblGrid>
      <w:tr w14:paraId="778EC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94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21E8EB"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专业</w:t>
            </w:r>
          </w:p>
        </w:tc>
        <w:tc>
          <w:tcPr>
            <w:tcW w:w="282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BE0776"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eastAsia="zh-CN"/>
              </w:rPr>
              <w:t>现有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学生人数（人）</w:t>
            </w:r>
          </w:p>
        </w:tc>
        <w:tc>
          <w:tcPr>
            <w:tcW w:w="303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CF182B"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eastAsia="宋体"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拟接收学生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人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eastAsia="zh-CN"/>
              </w:rPr>
              <w:t>）</w:t>
            </w:r>
          </w:p>
        </w:tc>
      </w:tr>
      <w:tr w14:paraId="14698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294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385CBE"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市场营销</w:t>
            </w:r>
          </w:p>
        </w:tc>
        <w:tc>
          <w:tcPr>
            <w:tcW w:w="282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D98A9F"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firstLine="480" w:firstLineChars="200"/>
              <w:jc w:val="center"/>
              <w:textAlignment w:val="auto"/>
              <w:rPr>
                <w:rFonts w:hint="default" w:eastAsiaTheme="minor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123</w:t>
            </w:r>
          </w:p>
        </w:tc>
        <w:tc>
          <w:tcPr>
            <w:tcW w:w="303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62C217"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firstLine="480" w:firstLineChars="200"/>
              <w:jc w:val="center"/>
              <w:textAlignment w:val="auto"/>
              <w:rPr>
                <w:rFonts w:hint="default" w:eastAsiaTheme="minor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12-18</w:t>
            </w:r>
          </w:p>
        </w:tc>
      </w:tr>
      <w:tr w14:paraId="77B6B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94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8D71D8"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现代物流管理</w:t>
            </w:r>
          </w:p>
        </w:tc>
        <w:tc>
          <w:tcPr>
            <w:tcW w:w="282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FD20C0"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firstLine="480" w:firstLineChars="200"/>
              <w:jc w:val="center"/>
              <w:textAlignment w:val="auto"/>
              <w:rPr>
                <w:rFonts w:hint="default" w:eastAsiaTheme="minor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62</w:t>
            </w:r>
          </w:p>
        </w:tc>
        <w:tc>
          <w:tcPr>
            <w:tcW w:w="303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94F1E9"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firstLine="480" w:firstLineChars="200"/>
              <w:jc w:val="center"/>
              <w:textAlignment w:val="auto"/>
              <w:rPr>
                <w:rFonts w:hint="default" w:eastAsiaTheme="minor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6-9</w:t>
            </w:r>
          </w:p>
        </w:tc>
      </w:tr>
      <w:tr w14:paraId="73A07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94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20B191"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电子商务</w:t>
            </w:r>
          </w:p>
        </w:tc>
        <w:tc>
          <w:tcPr>
            <w:tcW w:w="282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8E49DF"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firstLine="480" w:firstLineChars="200"/>
              <w:jc w:val="center"/>
              <w:textAlignment w:val="auto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59</w:t>
            </w:r>
          </w:p>
        </w:tc>
        <w:tc>
          <w:tcPr>
            <w:tcW w:w="303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0410E4"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firstLine="480" w:firstLineChars="200"/>
              <w:jc w:val="center"/>
              <w:textAlignment w:val="auto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6-9</w:t>
            </w:r>
          </w:p>
        </w:tc>
      </w:tr>
      <w:tr w14:paraId="7ECD0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94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164BFE"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法律事务（电商法务方向）</w:t>
            </w:r>
          </w:p>
        </w:tc>
        <w:tc>
          <w:tcPr>
            <w:tcW w:w="282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2D3476"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firstLine="480" w:firstLineChars="200"/>
              <w:jc w:val="center"/>
              <w:textAlignment w:val="auto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62</w:t>
            </w:r>
          </w:p>
        </w:tc>
        <w:tc>
          <w:tcPr>
            <w:tcW w:w="303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CCC7C0"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firstLine="480" w:firstLineChars="200"/>
              <w:jc w:val="center"/>
              <w:textAlignment w:val="auto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6-9</w:t>
            </w:r>
          </w:p>
        </w:tc>
      </w:tr>
    </w:tbl>
    <w:p w14:paraId="03080C0C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562" w:firstLineChars="200"/>
        <w:textAlignment w:val="auto"/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 xml:space="preserve"> 三、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接收条件</w:t>
      </w:r>
    </w:p>
    <w:p w14:paraId="56A65F60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申请转专业的学生需符合《河北政法职业学院转专业管理暂行办法》转专业基本条件的要求。</w:t>
      </w:r>
    </w:p>
    <w:p w14:paraId="23B72AE8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有下列情形之一的，不予接收：</w:t>
      </w:r>
    </w:p>
    <w:p w14:paraId="4E3A621E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（一）入学未满一学期或者毕业年级学生；</w:t>
      </w:r>
    </w:p>
    <w:p w14:paraId="46989AEE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（二）正在休学、保留学籍、保留入学资格的；</w:t>
      </w:r>
    </w:p>
    <w:p w14:paraId="45CB8891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（三）已达到退学条件的；</w:t>
      </w:r>
    </w:p>
    <w:p w14:paraId="45A7EF81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（四）其他经学院审核认为不适合或者国家有相关规定的。</w:t>
      </w:r>
    </w:p>
    <w:p w14:paraId="39F73472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562" w:firstLineChars="200"/>
        <w:textAlignment w:val="auto"/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四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、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接收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规则</w:t>
      </w:r>
    </w:p>
    <w:p w14:paraId="2DA225AD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转专业成绩应由学生在校学习期间应修必修课平均成绩（一共12门）和经贸法务系选拔考核成绩两部分组成，学生没有考核不及格课程。在校学习期间应修必修课平均成绩占转专业总评成绩的70%，经贸法务系选拔面试成绩占转专业总评成绩的30%。按转专业学生的最终总评成绩进行排序，依据接收计划，遵循“成绩优先”原则依次录取。选拔考核方式、内容根据各专业的培养目标和要求，组织实施选拔考核。</w:t>
      </w:r>
    </w:p>
    <w:tbl>
      <w:tblPr>
        <w:tblStyle w:val="4"/>
        <w:tblW w:w="85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208"/>
        <w:gridCol w:w="2292"/>
        <w:gridCol w:w="3048"/>
      </w:tblGrid>
      <w:tr w14:paraId="05377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08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358F83"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firstLine="1120" w:firstLineChars="400"/>
              <w:jc w:val="both"/>
              <w:textAlignment w:val="auto"/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专业</w:t>
            </w:r>
          </w:p>
        </w:tc>
        <w:tc>
          <w:tcPr>
            <w:tcW w:w="22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7236B1"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firstLine="560" w:firstLineChars="200"/>
              <w:jc w:val="both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考核方式</w:t>
            </w:r>
          </w:p>
        </w:tc>
        <w:tc>
          <w:tcPr>
            <w:tcW w:w="3048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7C8D5B"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firstLine="840" w:firstLineChars="300"/>
              <w:jc w:val="both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考核内容</w:t>
            </w:r>
          </w:p>
        </w:tc>
      </w:tr>
      <w:tr w14:paraId="04E72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3208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0316BB"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rightChars="0"/>
              <w:jc w:val="center"/>
              <w:textAlignment w:val="auto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市场营销</w:t>
            </w:r>
          </w:p>
        </w:tc>
        <w:tc>
          <w:tcPr>
            <w:tcW w:w="22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19B6E3"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面试</w:t>
            </w:r>
          </w:p>
        </w:tc>
        <w:tc>
          <w:tcPr>
            <w:tcW w:w="3048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592A34"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专业素养</w:t>
            </w:r>
          </w:p>
        </w:tc>
      </w:tr>
      <w:tr w14:paraId="678D0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08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786CB0"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rightChars="0"/>
              <w:jc w:val="center"/>
              <w:textAlignment w:val="auto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现代物流管理</w:t>
            </w:r>
          </w:p>
        </w:tc>
        <w:tc>
          <w:tcPr>
            <w:tcW w:w="22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D8E947"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面试</w:t>
            </w:r>
          </w:p>
        </w:tc>
        <w:tc>
          <w:tcPr>
            <w:tcW w:w="3048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A94A1D"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</w:pPr>
            <w:r>
              <w:rPr>
                <w:rFonts w:hint="eastAsia"/>
                <w:lang w:val="en-US" w:eastAsia="zh-CN"/>
              </w:rPr>
              <w:t>专业素养</w:t>
            </w:r>
          </w:p>
        </w:tc>
      </w:tr>
      <w:tr w14:paraId="37E1F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08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226340"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rightChars="0"/>
              <w:jc w:val="center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电子商务</w:t>
            </w:r>
          </w:p>
        </w:tc>
        <w:tc>
          <w:tcPr>
            <w:tcW w:w="22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CF8722"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面试</w:t>
            </w:r>
          </w:p>
        </w:tc>
        <w:tc>
          <w:tcPr>
            <w:tcW w:w="3048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24248B"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专业素养</w:t>
            </w:r>
          </w:p>
        </w:tc>
      </w:tr>
      <w:tr w14:paraId="5CCF9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08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E33EDF"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rightChars="0"/>
              <w:jc w:val="center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法律事务（电商法务方向）</w:t>
            </w:r>
          </w:p>
        </w:tc>
        <w:tc>
          <w:tcPr>
            <w:tcW w:w="22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647F28"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面试</w:t>
            </w:r>
          </w:p>
        </w:tc>
        <w:tc>
          <w:tcPr>
            <w:tcW w:w="3048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443F3E"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专业素养</w:t>
            </w:r>
          </w:p>
        </w:tc>
      </w:tr>
    </w:tbl>
    <w:p w14:paraId="60D7D5A7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、工作程序</w:t>
      </w:r>
    </w:p>
    <w:p w14:paraId="762B0A66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1.12月底前公布各专业接收计划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，申请转专业学生填写《河北政法职业学院转专业申请表》（见附件）。</w:t>
      </w:r>
    </w:p>
    <w:p w14:paraId="785E4F6C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2.春季学期第1周开始组织转专业考核。</w:t>
      </w:r>
    </w:p>
    <w:p w14:paraId="13E54B5A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3.春季学期第1周，根据经贸法务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系转专业实施细则，确定转专业学生名单并公示3日。公示无异议后将拟转专业学生名单及其申请表报教务处。</w:t>
      </w:r>
    </w:p>
    <w:p w14:paraId="0DB128A9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5.教务处将转专业学生名单报学校审批通过后，报省教育厅备案。</w:t>
      </w:r>
    </w:p>
    <w:p w14:paraId="26B2DCCE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6.教务处公布经学校审批后的转专业学生名单。学院做好转专业学生的相关工作，学生应在规定时间内办妥相关转入及补退选课手续。</w:t>
      </w:r>
    </w:p>
    <w:p w14:paraId="1992F6F3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</w:pPr>
    </w:p>
    <w:p w14:paraId="6812D09D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咨询老师：张银霞</w:t>
      </w:r>
    </w:p>
    <w:p w14:paraId="66098FDE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咨询电话：15531178505</w:t>
      </w:r>
    </w:p>
    <w:p w14:paraId="0E4665E3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        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                   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 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  2024年12月03日</w:t>
      </w:r>
    </w:p>
    <w:p w14:paraId="7C5FB711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</w:pPr>
    </w:p>
    <w:p w14:paraId="70B54111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</w:pPr>
    </w:p>
    <w:p w14:paraId="3C54935C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</w:pPr>
    </w:p>
    <w:p w14:paraId="4A3B8B6E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</w:pPr>
    </w:p>
    <w:p w14:paraId="75C0861A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</w:pPr>
    </w:p>
    <w:p w14:paraId="5585CCD7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</w:pPr>
    </w:p>
    <w:p w14:paraId="31DD4BBE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</w:pPr>
    </w:p>
    <w:p w14:paraId="0DEE9B8B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</w:pPr>
    </w:p>
    <w:p w14:paraId="7E22674E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</w:pPr>
    </w:p>
    <w:p w14:paraId="2CF8BD1F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</w:pPr>
    </w:p>
    <w:p w14:paraId="345985B9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</w:pPr>
    </w:p>
    <w:p w14:paraId="68A074FC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</w:pPr>
    </w:p>
    <w:p w14:paraId="0773158E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</w:pPr>
    </w:p>
    <w:p w14:paraId="4974D3C7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</w:pPr>
    </w:p>
    <w:p w14:paraId="2F686E4D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textAlignment w:val="auto"/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附：转专业申请表</w:t>
      </w:r>
    </w:p>
    <w:p w14:paraId="4EC849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23" w:firstLineChars="200"/>
        <w:jc w:val="center"/>
        <w:textAlignment w:val="auto"/>
        <w:rPr>
          <w:rFonts w:hint="eastAsia" w:eastAsia="黑体"/>
          <w:sz w:val="18"/>
        </w:rPr>
      </w:pPr>
      <w:r>
        <w:rPr>
          <w:rFonts w:hint="eastAsia" w:eastAsia="黑体"/>
          <w:b/>
          <w:bCs/>
          <w:sz w:val="36"/>
        </w:rPr>
        <w:t>河北政法职业</w:t>
      </w:r>
      <w:r>
        <w:rPr>
          <w:rFonts w:hint="eastAsia" w:eastAsia="黑体"/>
          <w:b/>
          <w:bCs/>
          <w:sz w:val="36"/>
          <w:lang w:eastAsia="zh-CN"/>
        </w:rPr>
        <w:t>学院</w:t>
      </w:r>
      <w:r>
        <w:rPr>
          <w:rFonts w:hint="eastAsia" w:eastAsia="黑体"/>
          <w:b/>
          <w:bCs/>
          <w:sz w:val="36"/>
        </w:rPr>
        <w:t>转专业申请表</w:t>
      </w:r>
    </w:p>
    <w:tbl>
      <w:tblPr>
        <w:tblStyle w:val="4"/>
        <w:tblW w:w="9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1079"/>
        <w:gridCol w:w="360"/>
        <w:gridCol w:w="7"/>
        <w:gridCol w:w="707"/>
        <w:gridCol w:w="6"/>
        <w:gridCol w:w="988"/>
        <w:gridCol w:w="709"/>
        <w:gridCol w:w="2085"/>
        <w:gridCol w:w="41"/>
        <w:gridCol w:w="992"/>
        <w:gridCol w:w="2096"/>
      </w:tblGrid>
      <w:tr w14:paraId="14CBB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02" w:type="dxa"/>
            <w:noWrap w:val="0"/>
            <w:vAlign w:val="center"/>
          </w:tcPr>
          <w:p w14:paraId="5917FE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both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 w14:paraId="4ABC08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720" w:type="dxa"/>
            <w:gridSpan w:val="3"/>
            <w:noWrap w:val="0"/>
            <w:vAlign w:val="center"/>
          </w:tcPr>
          <w:p w14:paraId="64AB30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both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988" w:type="dxa"/>
            <w:noWrap w:val="0"/>
            <w:vAlign w:val="center"/>
          </w:tcPr>
          <w:p w14:paraId="398038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ECE83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both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2085" w:type="dxa"/>
            <w:noWrap w:val="0"/>
            <w:vAlign w:val="center"/>
          </w:tcPr>
          <w:p w14:paraId="77B895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1033" w:type="dxa"/>
            <w:gridSpan w:val="2"/>
            <w:noWrap w:val="0"/>
            <w:vAlign w:val="center"/>
          </w:tcPr>
          <w:p w14:paraId="5ECDD5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both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2096" w:type="dxa"/>
            <w:noWrap w:val="0"/>
            <w:vAlign w:val="center"/>
          </w:tcPr>
          <w:p w14:paraId="68D67B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/>
                <w:sz w:val="24"/>
              </w:rPr>
            </w:pPr>
          </w:p>
        </w:tc>
      </w:tr>
      <w:tr w14:paraId="5E513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855" w:type="dxa"/>
            <w:gridSpan w:val="5"/>
            <w:noWrap w:val="0"/>
            <w:vAlign w:val="center"/>
          </w:tcPr>
          <w:p w14:paraId="077751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both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应修必修课平均成绩</w:t>
            </w:r>
          </w:p>
        </w:tc>
        <w:tc>
          <w:tcPr>
            <w:tcW w:w="1703" w:type="dxa"/>
            <w:gridSpan w:val="3"/>
            <w:noWrap w:val="0"/>
            <w:vAlign w:val="center"/>
          </w:tcPr>
          <w:p w14:paraId="53807A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3118" w:type="dxa"/>
            <w:gridSpan w:val="3"/>
            <w:noWrap w:val="0"/>
            <w:vAlign w:val="center"/>
          </w:tcPr>
          <w:p w14:paraId="3ECB6F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both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转专业选拔考核成绩</w:t>
            </w:r>
          </w:p>
        </w:tc>
        <w:tc>
          <w:tcPr>
            <w:tcW w:w="2096" w:type="dxa"/>
            <w:noWrap w:val="0"/>
            <w:vAlign w:val="center"/>
          </w:tcPr>
          <w:p w14:paraId="38BC5C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/>
                <w:sz w:val="24"/>
              </w:rPr>
            </w:pPr>
          </w:p>
        </w:tc>
      </w:tr>
      <w:tr w14:paraId="2E7B3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2861" w:type="dxa"/>
            <w:gridSpan w:val="6"/>
            <w:noWrap w:val="0"/>
            <w:vAlign w:val="center"/>
          </w:tcPr>
          <w:p w14:paraId="023AFF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转专业总评成绩</w:t>
            </w:r>
          </w:p>
        </w:tc>
        <w:tc>
          <w:tcPr>
            <w:tcW w:w="1697" w:type="dxa"/>
            <w:gridSpan w:val="2"/>
            <w:noWrap w:val="0"/>
            <w:vAlign w:val="center"/>
          </w:tcPr>
          <w:p w14:paraId="4BD2F6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3118" w:type="dxa"/>
            <w:gridSpan w:val="3"/>
            <w:noWrap w:val="0"/>
            <w:vAlign w:val="center"/>
          </w:tcPr>
          <w:p w14:paraId="03C253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both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转专业总评成绩排名</w:t>
            </w:r>
          </w:p>
        </w:tc>
        <w:tc>
          <w:tcPr>
            <w:tcW w:w="2096" w:type="dxa"/>
            <w:noWrap w:val="0"/>
            <w:vAlign w:val="center"/>
          </w:tcPr>
          <w:p w14:paraId="46E930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/>
                <w:sz w:val="24"/>
              </w:rPr>
            </w:pPr>
          </w:p>
        </w:tc>
      </w:tr>
      <w:tr w14:paraId="26867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2148" w:type="dxa"/>
            <w:gridSpan w:val="4"/>
            <w:noWrap w:val="0"/>
            <w:vAlign w:val="center"/>
          </w:tcPr>
          <w:p w14:paraId="214BD3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原</w:t>
            </w:r>
            <w:r>
              <w:rPr>
                <w:rFonts w:hint="eastAsia"/>
                <w:sz w:val="24"/>
                <w:lang w:eastAsia="zh-CN"/>
              </w:rPr>
              <w:t>所在系</w:t>
            </w:r>
          </w:p>
        </w:tc>
        <w:tc>
          <w:tcPr>
            <w:tcW w:w="2410" w:type="dxa"/>
            <w:gridSpan w:val="4"/>
            <w:noWrap w:val="0"/>
            <w:vAlign w:val="center"/>
          </w:tcPr>
          <w:p w14:paraId="5EE573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2126" w:type="dxa"/>
            <w:gridSpan w:val="2"/>
            <w:noWrap w:val="0"/>
            <w:vAlign w:val="center"/>
          </w:tcPr>
          <w:p w14:paraId="3C5119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both"/>
              <w:textAlignment w:val="auto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原专业</w:t>
            </w:r>
            <w:r>
              <w:rPr>
                <w:rFonts w:hint="eastAsia"/>
                <w:sz w:val="24"/>
                <w:lang w:eastAsia="zh-CN"/>
              </w:rPr>
              <w:t>班级</w:t>
            </w:r>
          </w:p>
        </w:tc>
        <w:tc>
          <w:tcPr>
            <w:tcW w:w="3088" w:type="dxa"/>
            <w:gridSpan w:val="2"/>
            <w:noWrap w:val="0"/>
            <w:vAlign w:val="center"/>
          </w:tcPr>
          <w:p w14:paraId="607672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/>
                <w:sz w:val="24"/>
              </w:rPr>
            </w:pPr>
          </w:p>
        </w:tc>
      </w:tr>
      <w:tr w14:paraId="3DEB0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2148" w:type="dxa"/>
            <w:gridSpan w:val="4"/>
            <w:noWrap w:val="0"/>
            <w:vAlign w:val="center"/>
          </w:tcPr>
          <w:p w14:paraId="2A2CEB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申请</w:t>
            </w:r>
            <w:r>
              <w:rPr>
                <w:rFonts w:hint="eastAsia"/>
                <w:sz w:val="24"/>
                <w:lang w:eastAsia="zh-CN"/>
              </w:rPr>
              <w:t>转入系</w:t>
            </w:r>
          </w:p>
        </w:tc>
        <w:tc>
          <w:tcPr>
            <w:tcW w:w="2410" w:type="dxa"/>
            <w:gridSpan w:val="4"/>
            <w:noWrap w:val="0"/>
            <w:vAlign w:val="center"/>
          </w:tcPr>
          <w:p w14:paraId="6F9BB6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2126" w:type="dxa"/>
            <w:gridSpan w:val="2"/>
            <w:noWrap w:val="0"/>
            <w:vAlign w:val="center"/>
          </w:tcPr>
          <w:p w14:paraId="083A4E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both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申请转入专业</w:t>
            </w:r>
          </w:p>
        </w:tc>
        <w:tc>
          <w:tcPr>
            <w:tcW w:w="3088" w:type="dxa"/>
            <w:gridSpan w:val="2"/>
            <w:noWrap w:val="0"/>
            <w:vAlign w:val="center"/>
          </w:tcPr>
          <w:p w14:paraId="437E1B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/>
                <w:sz w:val="24"/>
              </w:rPr>
            </w:pPr>
          </w:p>
        </w:tc>
      </w:tr>
      <w:tr w14:paraId="3E165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9" w:hRule="atLeast"/>
          <w:jc w:val="center"/>
        </w:trPr>
        <w:tc>
          <w:tcPr>
            <w:tcW w:w="1781" w:type="dxa"/>
            <w:gridSpan w:val="2"/>
            <w:noWrap w:val="0"/>
            <w:vAlign w:val="center"/>
          </w:tcPr>
          <w:p w14:paraId="17EFC1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</w:t>
            </w:r>
          </w:p>
          <w:p w14:paraId="218C2B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请</w:t>
            </w:r>
          </w:p>
          <w:p w14:paraId="46697D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理</w:t>
            </w:r>
          </w:p>
          <w:p w14:paraId="373D84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由</w:t>
            </w:r>
          </w:p>
        </w:tc>
        <w:tc>
          <w:tcPr>
            <w:tcW w:w="7991" w:type="dxa"/>
            <w:gridSpan w:val="10"/>
            <w:noWrap w:val="0"/>
            <w:vAlign w:val="center"/>
          </w:tcPr>
          <w:p w14:paraId="78065B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/>
                <w:sz w:val="24"/>
              </w:rPr>
            </w:pPr>
          </w:p>
          <w:p w14:paraId="4D687A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/>
                <w:sz w:val="24"/>
              </w:rPr>
            </w:pPr>
          </w:p>
          <w:p w14:paraId="7512DA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申请人签字：              年   月   日</w:t>
            </w:r>
          </w:p>
        </w:tc>
      </w:tr>
      <w:tr w14:paraId="59C95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  <w:jc w:val="center"/>
        </w:trPr>
        <w:tc>
          <w:tcPr>
            <w:tcW w:w="1781" w:type="dxa"/>
            <w:gridSpan w:val="2"/>
            <w:noWrap w:val="0"/>
            <w:vAlign w:val="center"/>
          </w:tcPr>
          <w:p w14:paraId="59CC51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学生原所</w:t>
            </w:r>
          </w:p>
          <w:p w14:paraId="24E87A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</w:t>
            </w:r>
            <w:r>
              <w:rPr>
                <w:rFonts w:hint="eastAsia"/>
                <w:sz w:val="24"/>
                <w:lang w:eastAsia="zh-CN"/>
              </w:rPr>
              <w:t>系</w:t>
            </w: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7991" w:type="dxa"/>
            <w:gridSpan w:val="10"/>
            <w:noWrap w:val="0"/>
            <w:vAlign w:val="center"/>
          </w:tcPr>
          <w:p w14:paraId="54B7A3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/>
                <w:sz w:val="24"/>
                <w:lang w:val="en-US" w:eastAsia="zh-CN"/>
              </w:rPr>
            </w:pPr>
          </w:p>
          <w:p w14:paraId="3B4404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签字（盖章）：              年   月   日</w:t>
            </w:r>
          </w:p>
        </w:tc>
      </w:tr>
      <w:tr w14:paraId="1F17C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  <w:jc w:val="center"/>
        </w:trPr>
        <w:tc>
          <w:tcPr>
            <w:tcW w:w="1781" w:type="dxa"/>
            <w:gridSpan w:val="2"/>
            <w:noWrap w:val="0"/>
            <w:vAlign w:val="center"/>
          </w:tcPr>
          <w:p w14:paraId="62CAF7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转入</w:t>
            </w:r>
            <w:r>
              <w:rPr>
                <w:rFonts w:hint="eastAsia"/>
                <w:sz w:val="24"/>
                <w:lang w:eastAsia="zh-CN"/>
              </w:rPr>
              <w:t>系</w:t>
            </w:r>
          </w:p>
          <w:p w14:paraId="786CC3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/>
                <w:sz w:val="24"/>
              </w:rPr>
            </w:pPr>
            <w:r>
              <w:rPr>
                <w:sz w:val="24"/>
              </w:rPr>
              <w:t>意见</w:t>
            </w:r>
          </w:p>
        </w:tc>
        <w:tc>
          <w:tcPr>
            <w:tcW w:w="7991" w:type="dxa"/>
            <w:gridSpan w:val="10"/>
            <w:noWrap w:val="0"/>
            <w:vAlign w:val="center"/>
          </w:tcPr>
          <w:p w14:paraId="58157A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sz w:val="24"/>
              </w:rPr>
            </w:pPr>
          </w:p>
          <w:p w14:paraId="117C72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sz w:val="24"/>
              </w:rPr>
            </w:pPr>
          </w:p>
          <w:p w14:paraId="50CBB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签字（盖章）：              年   月   日</w:t>
            </w:r>
          </w:p>
        </w:tc>
      </w:tr>
      <w:tr w14:paraId="6693E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0" w:hRule="atLeast"/>
          <w:jc w:val="center"/>
        </w:trPr>
        <w:tc>
          <w:tcPr>
            <w:tcW w:w="1781" w:type="dxa"/>
            <w:gridSpan w:val="2"/>
            <w:noWrap w:val="0"/>
            <w:vAlign w:val="center"/>
          </w:tcPr>
          <w:p w14:paraId="0A8E5A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教务处</w:t>
            </w:r>
          </w:p>
          <w:p w14:paraId="052F35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7991" w:type="dxa"/>
            <w:gridSpan w:val="10"/>
            <w:noWrap w:val="0"/>
            <w:vAlign w:val="center"/>
          </w:tcPr>
          <w:p w14:paraId="5D28D4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/>
                <w:sz w:val="24"/>
              </w:rPr>
            </w:pPr>
          </w:p>
          <w:p w14:paraId="502E68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签字（盖章）：              年   月   日</w:t>
            </w:r>
          </w:p>
        </w:tc>
      </w:tr>
      <w:tr w14:paraId="6E973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7" w:hRule="atLeast"/>
          <w:jc w:val="center"/>
        </w:trPr>
        <w:tc>
          <w:tcPr>
            <w:tcW w:w="1781" w:type="dxa"/>
            <w:gridSpan w:val="2"/>
            <w:noWrap w:val="0"/>
            <w:vAlign w:val="center"/>
          </w:tcPr>
          <w:p w14:paraId="73ABDA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院领导</w:t>
            </w:r>
          </w:p>
          <w:p w14:paraId="2286E3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意见</w:t>
            </w:r>
          </w:p>
        </w:tc>
        <w:tc>
          <w:tcPr>
            <w:tcW w:w="7991" w:type="dxa"/>
            <w:gridSpan w:val="10"/>
            <w:noWrap w:val="0"/>
            <w:vAlign w:val="center"/>
          </w:tcPr>
          <w:p w14:paraId="2AFFEB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/>
                <w:sz w:val="24"/>
              </w:rPr>
            </w:pPr>
          </w:p>
        </w:tc>
      </w:tr>
      <w:tr w14:paraId="04004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0" w:hRule="atLeast"/>
          <w:jc w:val="center"/>
        </w:trPr>
        <w:tc>
          <w:tcPr>
            <w:tcW w:w="1781" w:type="dxa"/>
            <w:gridSpan w:val="2"/>
            <w:noWrap w:val="0"/>
            <w:vAlign w:val="center"/>
          </w:tcPr>
          <w:p w14:paraId="48A220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  <w:tc>
          <w:tcPr>
            <w:tcW w:w="7991" w:type="dxa"/>
            <w:gridSpan w:val="10"/>
            <w:noWrap w:val="0"/>
            <w:vAlign w:val="center"/>
          </w:tcPr>
          <w:p w14:paraId="208677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/>
                <w:sz w:val="24"/>
              </w:rPr>
            </w:pPr>
          </w:p>
        </w:tc>
      </w:tr>
    </w:tbl>
    <w:p w14:paraId="3E67EB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80" w:firstLineChars="200"/>
        <w:textAlignment w:val="auto"/>
        <w:rPr>
          <w:rFonts w:hint="eastAsia"/>
          <w:sz w:val="24"/>
        </w:rPr>
      </w:pPr>
      <w:r>
        <w:rPr>
          <w:rFonts w:hint="eastAsia"/>
          <w:sz w:val="24"/>
        </w:rPr>
        <w:t>注：1、此表一式两份，教务处留存一份，接收</w:t>
      </w:r>
      <w:r>
        <w:rPr>
          <w:rFonts w:hint="eastAsia"/>
          <w:sz w:val="24"/>
          <w:lang w:eastAsia="zh-CN"/>
        </w:rPr>
        <w:t>系</w:t>
      </w:r>
      <w:r>
        <w:rPr>
          <w:rFonts w:hint="eastAsia"/>
          <w:sz w:val="24"/>
        </w:rPr>
        <w:t>放入学生档案一份</w:t>
      </w:r>
    </w:p>
    <w:p w14:paraId="06AE07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960" w:firstLineChars="400"/>
        <w:textAlignment w:val="auto"/>
      </w:pPr>
      <w:r>
        <w:rPr>
          <w:sz w:val="24"/>
        </w:rPr>
        <w:t>2</w:t>
      </w:r>
      <w:r>
        <w:rPr>
          <w:rFonts w:hint="eastAsia"/>
          <w:sz w:val="24"/>
        </w:rPr>
        <w:t>、专业</w:t>
      </w:r>
      <w:r>
        <w:rPr>
          <w:sz w:val="24"/>
        </w:rPr>
        <w:t>名称</w:t>
      </w:r>
      <w:r>
        <w:rPr>
          <w:rFonts w:hint="eastAsia"/>
          <w:sz w:val="24"/>
        </w:rPr>
        <w:t>必须</w:t>
      </w:r>
      <w:r>
        <w:rPr>
          <w:sz w:val="24"/>
        </w:rPr>
        <w:t>写全称，不得</w:t>
      </w:r>
      <w:r>
        <w:rPr>
          <w:rFonts w:hint="eastAsia"/>
          <w:sz w:val="24"/>
        </w:rPr>
        <w:t>写</w:t>
      </w:r>
      <w:r>
        <w:rPr>
          <w:sz w:val="24"/>
        </w:rPr>
        <w:t>简称。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方正舒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2OTMyNGMyN2EzYzcxNDNmMDdlYzA4ZmI3ZmEyMmYifQ=="/>
  </w:docVars>
  <w:rsids>
    <w:rsidRoot w:val="00000000"/>
    <w:rsid w:val="00E800E1"/>
    <w:rsid w:val="0430275A"/>
    <w:rsid w:val="0EA37FCC"/>
    <w:rsid w:val="12975D5A"/>
    <w:rsid w:val="1E1E14FB"/>
    <w:rsid w:val="1E207B73"/>
    <w:rsid w:val="22837AA1"/>
    <w:rsid w:val="24613E12"/>
    <w:rsid w:val="31654955"/>
    <w:rsid w:val="40175FA1"/>
    <w:rsid w:val="41973029"/>
    <w:rsid w:val="4AF91E28"/>
    <w:rsid w:val="4C0875E3"/>
    <w:rsid w:val="4C421709"/>
    <w:rsid w:val="56EE10E1"/>
    <w:rsid w:val="59076D41"/>
    <w:rsid w:val="69E6750E"/>
    <w:rsid w:val="7F80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40" w:beforeLines="0" w:after="140" w:afterLines="0" w:line="413" w:lineRule="auto"/>
      <w:ind w:left="300" w:leftChars="300"/>
      <w:jc w:val="left"/>
      <w:outlineLvl w:val="1"/>
    </w:pPr>
    <w:rPr>
      <w:rFonts w:ascii="Arial" w:hAnsi="Arial" w:eastAsia="楷体"/>
      <w:b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1068</Words>
  <Characters>1119</Characters>
  <Lines>0</Lines>
  <Paragraphs>0</Paragraphs>
  <TotalTime>10</TotalTime>
  <ScaleCrop>false</ScaleCrop>
  <LinksUpToDate>false</LinksUpToDate>
  <CharactersWithSpaces>1266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2022-12-04T13:44:00Z</dcterms:created>
  <dc:creator>HP</dc:creator>
  <cp:lastModifiedBy>MY</cp:lastModifiedBy>
  <dcterms:modified xsi:type="dcterms:W3CDTF">2024-12-04T02:34:36Z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7E1425F886574F04A01208A15548FA13_13</vt:lpwstr>
  </property>
</Properties>
</file>