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val="0"/>
        <w:shd w:val="clear" w:color="auto" w:fill="FFFFFF"/>
        <w:kinsoku/>
        <w:wordWrap/>
        <w:overflowPunct/>
        <w:topLinePunct w:val="0"/>
        <w:autoSpaceDE/>
        <w:autoSpaceDN/>
        <w:bidi w:val="0"/>
        <w:adjustRightInd/>
        <w:snapToGrid/>
        <w:spacing w:before="313" w:beforeLines="100" w:beforeAutospacing="0" w:after="313" w:afterLines="100" w:afterAutospacing="0" w:line="560" w:lineRule="exact"/>
        <w:jc w:val="center"/>
        <w:textAlignment w:val="auto"/>
        <w:rPr>
          <w:rFonts w:hint="eastAsia" w:ascii="华文中宋" w:hAnsi="华文中宋" w:eastAsia="华文中宋" w:cs="华文中宋"/>
          <w:b/>
          <w:bCs/>
          <w:color w:val="000000"/>
          <w:sz w:val="36"/>
          <w:szCs w:val="36"/>
          <w:shd w:val="clear" w:color="auto" w:fill="FFFFFF"/>
          <w:lang w:val="en-US" w:eastAsia="zh-CN"/>
        </w:rPr>
      </w:pPr>
      <w:r>
        <w:rPr>
          <w:rFonts w:hint="eastAsia" w:ascii="方正公文小标宋" w:hAnsi="方正公文小标宋" w:eastAsia="方正公文小标宋" w:cs="方正公文小标宋"/>
          <w:b w:val="0"/>
          <w:bCs w:val="0"/>
          <w:color w:val="000000"/>
          <w:sz w:val="44"/>
          <w:szCs w:val="44"/>
          <w:shd w:val="clear" w:color="auto" w:fill="FFFFFF"/>
          <w:lang w:val="en-US" w:eastAsia="zh-CN"/>
        </w:rPr>
        <w:t>国际法商系</w:t>
      </w:r>
      <w:r>
        <w:rPr>
          <w:rFonts w:hint="eastAsia" w:ascii="方正公文小标宋" w:hAnsi="方正公文小标宋" w:eastAsia="方正公文小标宋" w:cs="方正公文小标宋"/>
          <w:b w:val="0"/>
          <w:bCs w:val="0"/>
          <w:sz w:val="44"/>
          <w:szCs w:val="44"/>
        </w:rPr>
        <w:t>学生转专业管理</w:t>
      </w:r>
      <w:r>
        <w:rPr>
          <w:rFonts w:hint="eastAsia" w:ascii="方正公文小标宋" w:hAnsi="方正公文小标宋" w:eastAsia="方正公文小标宋" w:cs="方正公文小标宋"/>
          <w:b w:val="0"/>
          <w:bCs w:val="0"/>
          <w:color w:val="000000"/>
          <w:sz w:val="44"/>
          <w:szCs w:val="44"/>
          <w:shd w:val="clear" w:color="auto" w:fill="FFFFFF"/>
          <w:lang w:val="en-US" w:eastAsia="zh-CN"/>
        </w:rPr>
        <w:t>实施细则</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仿宋_GB2312" w:hAnsi="华文中宋" w:eastAsia="仿宋_GB2312" w:cs="宋体"/>
          <w:bCs/>
          <w:kern w:val="0"/>
          <w:sz w:val="32"/>
          <w:szCs w:val="32"/>
          <w:lang w:val="en-US" w:eastAsia="zh-CN" w:bidi="ar-SA"/>
        </w:rPr>
      </w:pPr>
      <w:r>
        <w:rPr>
          <w:rFonts w:hint="eastAsia" w:ascii="仿宋_GB2312" w:hAnsi="华文中宋" w:eastAsia="仿宋_GB2312" w:cs="宋体"/>
          <w:bCs/>
          <w:kern w:val="0"/>
          <w:sz w:val="32"/>
          <w:szCs w:val="32"/>
          <w:lang w:val="en-US" w:eastAsia="zh-CN" w:bidi="ar-SA"/>
        </w:rPr>
        <w:t>按照《河北政法职业学院转专业管理暂行办法》的规定，为鼓励学生个性发展，发挥学生特长，充分调动学生学习的主动性和积极性，制定2024级学生转专业管理实施细则。</w:t>
      </w:r>
    </w:p>
    <w:p>
      <w:pPr>
        <w:keepNext w:val="0"/>
        <w:keepLines w:val="0"/>
        <w:pageBreakBefore w:val="0"/>
        <w:widowControl w:val="0"/>
        <w:numPr>
          <w:ilvl w:val="0"/>
          <w:numId w:val="0"/>
        </w:numPr>
        <w:kinsoku/>
        <w:wordWrap/>
        <w:overflowPunct/>
        <w:topLinePunct w:val="0"/>
        <w:autoSpaceDE/>
        <w:bidi w:val="0"/>
        <w:adjustRightInd/>
        <w:snapToGrid/>
        <w:spacing w:line="560" w:lineRule="exact"/>
        <w:ind w:firstLine="640" w:firstLineChars="200"/>
        <w:jc w:val="both"/>
        <w:textAlignment w:val="auto"/>
        <w:rPr>
          <w:rFonts w:hint="eastAsia" w:ascii="黑体" w:hAnsi="黑体" w:eastAsia="黑体" w:cs="黑体"/>
          <w:bCs/>
          <w:kern w:val="0"/>
          <w:sz w:val="32"/>
          <w:szCs w:val="32"/>
          <w:lang w:val="en-US" w:eastAsia="zh-CN"/>
        </w:rPr>
      </w:pPr>
      <w:r>
        <w:rPr>
          <w:rFonts w:hint="eastAsia" w:ascii="黑体" w:hAnsi="黑体" w:eastAsia="黑体" w:cs="黑体"/>
          <w:bCs/>
          <w:kern w:val="0"/>
          <w:sz w:val="32"/>
          <w:szCs w:val="32"/>
          <w:lang w:val="en-US" w:eastAsia="zh-CN"/>
        </w:rPr>
        <w:t>一、组织机构</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仿宋_GB2312" w:hAnsi="华文中宋" w:eastAsia="仿宋_GB2312" w:cs="宋体"/>
          <w:bCs/>
          <w:kern w:val="0"/>
          <w:sz w:val="32"/>
          <w:szCs w:val="32"/>
          <w:lang w:val="en-US" w:eastAsia="zh-CN" w:bidi="ar-SA"/>
        </w:rPr>
      </w:pPr>
      <w:r>
        <w:rPr>
          <w:rFonts w:hint="eastAsia" w:ascii="仿宋_GB2312" w:hAnsi="华文中宋" w:eastAsia="仿宋_GB2312" w:cs="宋体"/>
          <w:bCs/>
          <w:kern w:val="0"/>
          <w:sz w:val="32"/>
          <w:szCs w:val="32"/>
          <w:lang w:val="en-US" w:eastAsia="zh-CN" w:bidi="ar-SA"/>
        </w:rPr>
        <w:t>国际法商系成立转专业领导小组。</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default" w:ascii="仿宋_GB2312" w:hAnsi="华文中宋" w:eastAsia="仿宋_GB2312" w:cs="宋体"/>
          <w:bCs/>
          <w:kern w:val="0"/>
          <w:sz w:val="32"/>
          <w:szCs w:val="32"/>
          <w:lang w:val="en-US" w:eastAsia="zh-CN" w:bidi="ar-SA"/>
        </w:rPr>
      </w:pPr>
      <w:r>
        <w:rPr>
          <w:rFonts w:hint="eastAsia" w:ascii="仿宋_GB2312" w:hAnsi="华文中宋" w:eastAsia="仿宋_GB2312" w:cs="宋体"/>
          <w:bCs/>
          <w:kern w:val="0"/>
          <w:sz w:val="32"/>
          <w:szCs w:val="32"/>
          <w:lang w:val="en-US" w:eastAsia="zh-CN" w:bidi="ar-SA"/>
        </w:rPr>
        <w:t>组   长：张旭光 赵忠</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default" w:ascii="仿宋_GB2312" w:hAnsi="华文中宋" w:eastAsia="仿宋_GB2312" w:cs="宋体"/>
          <w:bCs/>
          <w:kern w:val="0"/>
          <w:sz w:val="32"/>
          <w:szCs w:val="32"/>
          <w:lang w:val="en-US" w:eastAsia="zh-CN" w:bidi="ar-SA"/>
        </w:rPr>
      </w:pPr>
      <w:r>
        <w:rPr>
          <w:rFonts w:hint="eastAsia" w:ascii="仿宋_GB2312" w:hAnsi="华文中宋" w:eastAsia="仿宋_GB2312" w:cs="宋体"/>
          <w:bCs/>
          <w:kern w:val="0"/>
          <w:sz w:val="32"/>
          <w:szCs w:val="32"/>
          <w:lang w:val="en-US" w:eastAsia="zh-CN" w:bidi="ar-SA"/>
        </w:rPr>
        <w:t>副组长：孙文胜 边丽娜</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default" w:ascii="仿宋_GB2312" w:hAnsi="华文中宋" w:eastAsia="仿宋_GB2312" w:cs="宋体"/>
          <w:bCs/>
          <w:kern w:val="0"/>
          <w:sz w:val="32"/>
          <w:szCs w:val="32"/>
          <w:lang w:val="en-US" w:eastAsia="zh-CN" w:bidi="ar-SA"/>
        </w:rPr>
      </w:pPr>
      <w:r>
        <w:rPr>
          <w:rFonts w:hint="eastAsia" w:ascii="仿宋_GB2312" w:hAnsi="华文中宋" w:eastAsia="仿宋_GB2312" w:cs="宋体"/>
          <w:bCs/>
          <w:kern w:val="0"/>
          <w:sz w:val="32"/>
          <w:szCs w:val="32"/>
          <w:lang w:val="en-US" w:eastAsia="zh-CN" w:bidi="ar-SA"/>
        </w:rPr>
        <w:t>成   员：孙红帅 张惠彦 赵展 荣冀川 杨军安 贾竟祎</w:t>
      </w:r>
    </w:p>
    <w:p>
      <w:pPr>
        <w:keepNext w:val="0"/>
        <w:keepLines w:val="0"/>
        <w:pageBreakBefore w:val="0"/>
        <w:widowControl w:val="0"/>
        <w:numPr>
          <w:ilvl w:val="0"/>
          <w:numId w:val="0"/>
        </w:numPr>
        <w:kinsoku/>
        <w:wordWrap/>
        <w:overflowPunct/>
        <w:topLinePunct w:val="0"/>
        <w:autoSpaceDE/>
        <w:bidi w:val="0"/>
        <w:adjustRightInd/>
        <w:snapToGrid/>
        <w:spacing w:line="560" w:lineRule="exact"/>
        <w:ind w:firstLine="640" w:firstLineChars="200"/>
        <w:jc w:val="both"/>
        <w:textAlignment w:val="auto"/>
        <w:rPr>
          <w:rFonts w:hint="eastAsia" w:ascii="黑体" w:hAnsi="黑体" w:eastAsia="黑体" w:cs="黑体"/>
          <w:bCs/>
          <w:kern w:val="0"/>
          <w:sz w:val="32"/>
          <w:szCs w:val="32"/>
          <w:lang w:val="en-US" w:eastAsia="zh-CN"/>
        </w:rPr>
      </w:pPr>
      <w:r>
        <w:rPr>
          <w:rFonts w:hint="eastAsia" w:ascii="黑体" w:hAnsi="黑体" w:eastAsia="黑体" w:cs="黑体"/>
          <w:bCs/>
          <w:kern w:val="0"/>
          <w:sz w:val="32"/>
          <w:szCs w:val="32"/>
          <w:lang w:val="en-US" w:eastAsia="zh-CN"/>
        </w:rPr>
        <w:t>二、各专业拟接收学生计划</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157" w:afterLines="50" w:afterAutospacing="0" w:line="560" w:lineRule="exact"/>
        <w:ind w:left="0" w:leftChars="0" w:right="0" w:firstLine="640" w:firstLineChars="200"/>
        <w:textAlignment w:val="auto"/>
        <w:rPr>
          <w:rFonts w:hint="eastAsia" w:ascii="仿宋_GB2312" w:hAnsi="华文中宋" w:eastAsia="仿宋_GB2312" w:cs="宋体"/>
          <w:bCs/>
          <w:kern w:val="0"/>
          <w:sz w:val="32"/>
          <w:szCs w:val="32"/>
          <w:lang w:val="en-US" w:eastAsia="zh-CN" w:bidi="ar-SA"/>
        </w:rPr>
      </w:pPr>
      <w:r>
        <w:rPr>
          <w:rFonts w:hint="eastAsia" w:ascii="仿宋_GB2312" w:hAnsi="华文中宋" w:eastAsia="仿宋_GB2312" w:cs="宋体"/>
          <w:bCs/>
          <w:kern w:val="0"/>
          <w:sz w:val="32"/>
          <w:szCs w:val="32"/>
          <w:lang w:val="en-US" w:eastAsia="zh-CN" w:bidi="ar-SA"/>
        </w:rPr>
        <w:t>各专业的转专业接收计划一般不超过本专业学生人数的10%，根据具体专业教学资源情况，确定接收计划。具体指标分配如下：</w:t>
      </w:r>
    </w:p>
    <w:tbl>
      <w:tblPr>
        <w:tblStyle w:val="4"/>
        <w:tblW w:w="8320"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3381"/>
        <w:gridCol w:w="2712"/>
        <w:gridCol w:w="22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3381" w:type="dxa"/>
            <w:shd w:val="clear" w:color="auto" w:fill="auto"/>
            <w:tcMar>
              <w:top w:w="0" w:type="dxa"/>
              <w:left w:w="105" w:type="dxa"/>
              <w:bottom w:w="0" w:type="dxa"/>
              <w:right w:w="105" w:type="dxa"/>
            </w:tcMar>
            <w:vAlign w:val="center"/>
          </w:tcPr>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center"/>
              <w:textAlignment w:val="auto"/>
              <w:rPr>
                <w:color w:val="auto"/>
              </w:rPr>
            </w:pPr>
            <w:r>
              <w:rPr>
                <w:rFonts w:hint="eastAsia" w:ascii="宋体" w:hAnsi="宋体" w:eastAsia="宋体" w:cs="宋体"/>
                <w:color w:val="auto"/>
                <w:sz w:val="28"/>
                <w:szCs w:val="28"/>
              </w:rPr>
              <w:t>专业</w:t>
            </w:r>
          </w:p>
        </w:tc>
        <w:tc>
          <w:tcPr>
            <w:tcW w:w="2712" w:type="dxa"/>
            <w:shd w:val="clear" w:color="auto" w:fill="auto"/>
            <w:tcMar>
              <w:top w:w="0" w:type="dxa"/>
              <w:left w:w="105" w:type="dxa"/>
              <w:bottom w:w="0" w:type="dxa"/>
              <w:right w:w="105" w:type="dxa"/>
            </w:tcMar>
            <w:vAlign w:val="center"/>
          </w:tcPr>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center"/>
              <w:textAlignment w:val="auto"/>
              <w:rPr>
                <w:color w:val="auto"/>
              </w:rPr>
            </w:pPr>
            <w:r>
              <w:rPr>
                <w:rFonts w:hint="eastAsia" w:ascii="宋体" w:hAnsi="宋体" w:eastAsia="宋体" w:cs="宋体"/>
                <w:color w:val="auto"/>
                <w:sz w:val="28"/>
                <w:szCs w:val="28"/>
                <w:lang w:eastAsia="zh-CN"/>
              </w:rPr>
              <w:t>现有</w:t>
            </w:r>
            <w:r>
              <w:rPr>
                <w:rFonts w:hint="eastAsia" w:ascii="宋体" w:hAnsi="宋体" w:eastAsia="宋体" w:cs="宋体"/>
                <w:color w:val="auto"/>
                <w:sz w:val="28"/>
                <w:szCs w:val="28"/>
              </w:rPr>
              <w:t>学生人数（人）</w:t>
            </w:r>
          </w:p>
        </w:tc>
        <w:tc>
          <w:tcPr>
            <w:tcW w:w="2227" w:type="dxa"/>
            <w:shd w:val="clear" w:color="auto" w:fill="auto"/>
            <w:tcMar>
              <w:top w:w="0" w:type="dxa"/>
              <w:left w:w="105" w:type="dxa"/>
              <w:bottom w:w="0" w:type="dxa"/>
              <w:right w:w="105" w:type="dxa"/>
            </w:tcMar>
            <w:vAlign w:val="center"/>
          </w:tcPr>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center"/>
              <w:textAlignment w:val="auto"/>
              <w:rPr>
                <w:color w:val="auto"/>
              </w:rPr>
            </w:pPr>
            <w:r>
              <w:rPr>
                <w:rFonts w:hint="eastAsia" w:ascii="宋体" w:hAnsi="宋体" w:eastAsia="宋体" w:cs="宋体"/>
                <w:color w:val="auto"/>
                <w:sz w:val="28"/>
                <w:szCs w:val="28"/>
              </w:rPr>
              <w:t>拟接收学生计划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475" w:hRule="atLeast"/>
        </w:trPr>
        <w:tc>
          <w:tcPr>
            <w:tcW w:w="3381" w:type="dxa"/>
            <w:shd w:val="clear" w:color="auto" w:fill="auto"/>
            <w:tcMar>
              <w:top w:w="0" w:type="dxa"/>
              <w:left w:w="105" w:type="dxa"/>
              <w:bottom w:w="0" w:type="dxa"/>
              <w:right w:w="105" w:type="dxa"/>
            </w:tcMar>
            <w:vAlign w:val="center"/>
          </w:tcPr>
          <w:p>
            <w:pPr>
              <w:jc w:val="center"/>
              <w:rPr>
                <w:rFonts w:hint="eastAsia" w:ascii="仿宋" w:hAnsi="仿宋" w:eastAsia="仿宋" w:cs="仿宋"/>
                <w:color w:val="auto"/>
              </w:rPr>
            </w:pPr>
            <w:r>
              <w:rPr>
                <w:rFonts w:hint="eastAsia" w:ascii="仿宋" w:hAnsi="仿宋" w:eastAsia="仿宋" w:cs="仿宋"/>
                <w:color w:val="auto"/>
                <w:sz w:val="24"/>
                <w:szCs w:val="24"/>
                <w:lang w:eastAsia="zh-CN"/>
              </w:rPr>
              <w:t>法律事务（</w:t>
            </w:r>
            <w:r>
              <w:rPr>
                <w:rFonts w:hint="eastAsia" w:ascii="仿宋" w:hAnsi="仿宋" w:eastAsia="仿宋" w:cs="仿宋"/>
                <w:color w:val="auto"/>
                <w:sz w:val="24"/>
                <w:szCs w:val="24"/>
                <w:lang w:val="en-US" w:eastAsia="zh-CN"/>
              </w:rPr>
              <w:t>国际商事法务</w:t>
            </w:r>
            <w:r>
              <w:rPr>
                <w:rFonts w:hint="eastAsia" w:ascii="仿宋" w:hAnsi="仿宋" w:eastAsia="仿宋" w:cs="仿宋"/>
                <w:color w:val="auto"/>
                <w:sz w:val="24"/>
                <w:szCs w:val="24"/>
                <w:lang w:eastAsia="zh-CN"/>
              </w:rPr>
              <w:t>方向）</w:t>
            </w:r>
          </w:p>
        </w:tc>
        <w:tc>
          <w:tcPr>
            <w:tcW w:w="2712" w:type="dxa"/>
            <w:shd w:val="clear" w:color="auto" w:fill="auto"/>
            <w:tcMar>
              <w:top w:w="0" w:type="dxa"/>
              <w:left w:w="105" w:type="dxa"/>
              <w:bottom w:w="0" w:type="dxa"/>
              <w:right w:w="105" w:type="dxa"/>
            </w:tcMar>
            <w:vAlign w:val="center"/>
          </w:tcPr>
          <w:p>
            <w:pPr>
              <w:jc w:val="center"/>
              <w:rPr>
                <w:rFonts w:hint="default" w:ascii="仿宋" w:hAnsi="仿宋" w:eastAsia="仿宋" w:cs="仿宋"/>
                <w:color w:val="auto"/>
                <w:lang w:val="en-US"/>
              </w:rPr>
            </w:pPr>
            <w:r>
              <w:rPr>
                <w:rFonts w:hint="eastAsia" w:ascii="仿宋" w:hAnsi="仿宋" w:eastAsia="仿宋" w:cs="仿宋"/>
                <w:color w:val="auto"/>
                <w:sz w:val="24"/>
                <w:szCs w:val="24"/>
                <w:lang w:val="en-US" w:eastAsia="zh-CN"/>
              </w:rPr>
              <w:t>62</w:t>
            </w:r>
          </w:p>
        </w:tc>
        <w:tc>
          <w:tcPr>
            <w:tcW w:w="2227" w:type="dxa"/>
            <w:shd w:val="clear" w:color="auto" w:fill="auto"/>
            <w:tcMar>
              <w:top w:w="0" w:type="dxa"/>
              <w:left w:w="105" w:type="dxa"/>
              <w:bottom w:w="0" w:type="dxa"/>
              <w:right w:w="105" w:type="dxa"/>
            </w:tcMar>
            <w:vAlign w:val="center"/>
          </w:tcPr>
          <w:p>
            <w:pPr>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431" w:hRule="atLeast"/>
        </w:trPr>
        <w:tc>
          <w:tcPr>
            <w:tcW w:w="3381" w:type="dxa"/>
            <w:shd w:val="clear" w:color="auto" w:fill="auto"/>
            <w:tcMar>
              <w:top w:w="0" w:type="dxa"/>
              <w:left w:w="105" w:type="dxa"/>
              <w:bottom w:w="0" w:type="dxa"/>
              <w:right w:w="105" w:type="dxa"/>
            </w:tcMar>
            <w:vAlign w:val="center"/>
          </w:tcPr>
          <w:p>
            <w:pPr>
              <w:jc w:val="center"/>
              <w:rPr>
                <w:rFonts w:hint="eastAsia" w:ascii="仿宋" w:hAnsi="仿宋" w:eastAsia="仿宋" w:cs="仿宋"/>
                <w:color w:val="auto"/>
              </w:rPr>
            </w:pPr>
            <w:r>
              <w:rPr>
                <w:rFonts w:hint="eastAsia" w:ascii="仿宋" w:hAnsi="仿宋" w:eastAsia="仿宋" w:cs="仿宋"/>
                <w:color w:val="auto"/>
                <w:sz w:val="24"/>
                <w:szCs w:val="24"/>
                <w:lang w:eastAsia="zh-CN"/>
              </w:rPr>
              <w:t>法律事务（</w:t>
            </w:r>
            <w:r>
              <w:rPr>
                <w:rFonts w:hint="eastAsia" w:ascii="仿宋" w:hAnsi="仿宋" w:eastAsia="仿宋" w:cs="仿宋"/>
                <w:color w:val="auto"/>
                <w:sz w:val="24"/>
                <w:szCs w:val="24"/>
                <w:lang w:val="en-US" w:eastAsia="zh-CN"/>
              </w:rPr>
              <w:t>涉外</w:t>
            </w:r>
            <w:r>
              <w:rPr>
                <w:rFonts w:hint="eastAsia" w:ascii="仿宋" w:hAnsi="仿宋" w:eastAsia="仿宋" w:cs="仿宋"/>
                <w:color w:val="auto"/>
                <w:sz w:val="24"/>
                <w:szCs w:val="24"/>
                <w:lang w:eastAsia="zh-CN"/>
              </w:rPr>
              <w:t>法务方向）</w:t>
            </w:r>
          </w:p>
        </w:tc>
        <w:tc>
          <w:tcPr>
            <w:tcW w:w="2712" w:type="dxa"/>
            <w:shd w:val="clear" w:color="auto" w:fill="auto"/>
            <w:tcMar>
              <w:top w:w="0" w:type="dxa"/>
              <w:left w:w="105" w:type="dxa"/>
              <w:bottom w:w="0" w:type="dxa"/>
              <w:right w:w="105" w:type="dxa"/>
            </w:tcMar>
            <w:vAlign w:val="center"/>
          </w:tcPr>
          <w:p>
            <w:pPr>
              <w:jc w:val="center"/>
              <w:rPr>
                <w:rFonts w:hint="default" w:ascii="仿宋" w:hAnsi="仿宋" w:eastAsia="仿宋" w:cs="仿宋"/>
                <w:color w:val="auto"/>
                <w:lang w:val="en-US"/>
              </w:rPr>
            </w:pPr>
            <w:r>
              <w:rPr>
                <w:rFonts w:hint="eastAsia" w:ascii="仿宋" w:hAnsi="仿宋" w:eastAsia="仿宋" w:cs="仿宋"/>
                <w:color w:val="auto"/>
                <w:sz w:val="24"/>
                <w:szCs w:val="24"/>
                <w:lang w:val="en-US" w:eastAsia="zh-CN"/>
              </w:rPr>
              <w:t>62</w:t>
            </w:r>
          </w:p>
        </w:tc>
        <w:tc>
          <w:tcPr>
            <w:tcW w:w="2227" w:type="dxa"/>
            <w:shd w:val="clear" w:color="auto" w:fill="auto"/>
            <w:tcMar>
              <w:top w:w="0" w:type="dxa"/>
              <w:left w:w="105" w:type="dxa"/>
              <w:bottom w:w="0" w:type="dxa"/>
              <w:right w:w="105" w:type="dxa"/>
            </w:tcMar>
            <w:vAlign w:val="center"/>
          </w:tcPr>
          <w:p>
            <w:pPr>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406" w:hRule="atLeast"/>
        </w:trPr>
        <w:tc>
          <w:tcPr>
            <w:tcW w:w="3381" w:type="dxa"/>
            <w:shd w:val="clear" w:color="auto" w:fill="auto"/>
            <w:tcMar>
              <w:top w:w="0" w:type="dxa"/>
              <w:left w:w="105" w:type="dxa"/>
              <w:bottom w:w="0" w:type="dxa"/>
              <w:right w:w="105" w:type="dxa"/>
            </w:tcMar>
            <w:vAlign w:val="center"/>
          </w:tcPr>
          <w:p>
            <w:pPr>
              <w:jc w:val="center"/>
              <w:rPr>
                <w:rFonts w:hint="eastAsia" w:ascii="仿宋" w:hAnsi="仿宋" w:eastAsia="仿宋" w:cs="仿宋"/>
                <w:color w:val="auto"/>
              </w:rPr>
            </w:pPr>
            <w:r>
              <w:rPr>
                <w:rFonts w:hint="eastAsia" w:ascii="仿宋" w:hAnsi="仿宋" w:eastAsia="仿宋" w:cs="仿宋"/>
                <w:color w:val="auto"/>
                <w:sz w:val="24"/>
                <w:szCs w:val="24"/>
                <w:lang w:eastAsia="zh-CN"/>
              </w:rPr>
              <w:t>法律事务（</w:t>
            </w:r>
            <w:r>
              <w:rPr>
                <w:rFonts w:hint="eastAsia" w:ascii="仿宋" w:hAnsi="仿宋" w:eastAsia="仿宋" w:cs="仿宋"/>
                <w:color w:val="auto"/>
                <w:sz w:val="24"/>
                <w:szCs w:val="24"/>
                <w:lang w:val="en-US" w:eastAsia="zh-CN"/>
              </w:rPr>
              <w:t>金融</w:t>
            </w:r>
            <w:r>
              <w:rPr>
                <w:rFonts w:hint="eastAsia" w:ascii="仿宋" w:hAnsi="仿宋" w:eastAsia="仿宋" w:cs="仿宋"/>
                <w:color w:val="auto"/>
                <w:sz w:val="24"/>
                <w:szCs w:val="24"/>
                <w:lang w:eastAsia="zh-CN"/>
              </w:rPr>
              <w:t>法务方向）</w:t>
            </w:r>
          </w:p>
        </w:tc>
        <w:tc>
          <w:tcPr>
            <w:tcW w:w="2712" w:type="dxa"/>
            <w:shd w:val="clear" w:color="auto" w:fill="auto"/>
            <w:tcMar>
              <w:top w:w="0" w:type="dxa"/>
              <w:left w:w="105" w:type="dxa"/>
              <w:bottom w:w="0" w:type="dxa"/>
              <w:right w:w="105" w:type="dxa"/>
            </w:tcMar>
            <w:vAlign w:val="center"/>
          </w:tcPr>
          <w:p>
            <w:pPr>
              <w:jc w:val="center"/>
              <w:rPr>
                <w:rFonts w:hint="default" w:ascii="仿宋" w:hAnsi="仿宋" w:eastAsia="仿宋" w:cs="仿宋"/>
                <w:color w:val="auto"/>
                <w:lang w:val="en-US"/>
              </w:rPr>
            </w:pPr>
            <w:r>
              <w:rPr>
                <w:rFonts w:hint="eastAsia" w:ascii="仿宋" w:hAnsi="仿宋" w:eastAsia="仿宋" w:cs="仿宋"/>
                <w:color w:val="auto"/>
                <w:sz w:val="24"/>
                <w:szCs w:val="24"/>
                <w:lang w:val="en-US" w:eastAsia="zh-CN"/>
              </w:rPr>
              <w:t>64</w:t>
            </w:r>
          </w:p>
        </w:tc>
        <w:tc>
          <w:tcPr>
            <w:tcW w:w="2227" w:type="dxa"/>
            <w:shd w:val="clear" w:color="auto" w:fill="auto"/>
            <w:tcMar>
              <w:top w:w="0" w:type="dxa"/>
              <w:left w:w="105" w:type="dxa"/>
              <w:bottom w:w="0" w:type="dxa"/>
              <w:right w:w="105" w:type="dxa"/>
            </w:tcMar>
            <w:vAlign w:val="center"/>
          </w:tcPr>
          <w:p>
            <w:pPr>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429" w:hRule="atLeast"/>
        </w:trPr>
        <w:tc>
          <w:tcPr>
            <w:tcW w:w="3381" w:type="dxa"/>
            <w:shd w:val="clear" w:color="auto" w:fill="auto"/>
            <w:tcMar>
              <w:top w:w="0" w:type="dxa"/>
              <w:left w:w="105" w:type="dxa"/>
              <w:bottom w:w="0" w:type="dxa"/>
              <w:right w:w="105" w:type="dxa"/>
            </w:tcMar>
            <w:vAlign w:val="center"/>
          </w:tcPr>
          <w:p>
            <w:pPr>
              <w:jc w:val="center"/>
              <w:rPr>
                <w:rFonts w:hint="eastAsia" w:ascii="仿宋" w:hAnsi="仿宋" w:eastAsia="仿宋" w:cs="仿宋"/>
                <w:color w:val="auto"/>
              </w:rPr>
            </w:pPr>
            <w:r>
              <w:rPr>
                <w:rFonts w:hint="eastAsia" w:ascii="仿宋" w:hAnsi="仿宋" w:eastAsia="仿宋" w:cs="仿宋"/>
                <w:color w:val="auto"/>
                <w:sz w:val="24"/>
                <w:szCs w:val="24"/>
                <w:lang w:eastAsia="zh-CN"/>
              </w:rPr>
              <w:t>金融服务与管理</w:t>
            </w:r>
          </w:p>
        </w:tc>
        <w:tc>
          <w:tcPr>
            <w:tcW w:w="2712" w:type="dxa"/>
            <w:shd w:val="clear" w:color="auto" w:fill="auto"/>
            <w:tcMar>
              <w:top w:w="0" w:type="dxa"/>
              <w:left w:w="105" w:type="dxa"/>
              <w:bottom w:w="0" w:type="dxa"/>
              <w:right w:w="105" w:type="dxa"/>
            </w:tcMar>
            <w:vAlign w:val="center"/>
          </w:tcPr>
          <w:p>
            <w:pPr>
              <w:jc w:val="center"/>
              <w:rPr>
                <w:rFonts w:hint="default" w:ascii="仿宋" w:hAnsi="仿宋" w:eastAsia="仿宋" w:cs="仿宋"/>
                <w:color w:val="auto"/>
                <w:lang w:val="en-US"/>
              </w:rPr>
            </w:pPr>
            <w:r>
              <w:rPr>
                <w:rFonts w:hint="eastAsia" w:ascii="仿宋" w:hAnsi="仿宋" w:eastAsia="仿宋" w:cs="仿宋"/>
                <w:color w:val="auto"/>
                <w:sz w:val="24"/>
                <w:szCs w:val="24"/>
                <w:lang w:val="en-US" w:eastAsia="zh-CN"/>
              </w:rPr>
              <w:t>68</w:t>
            </w:r>
          </w:p>
        </w:tc>
        <w:tc>
          <w:tcPr>
            <w:tcW w:w="2227" w:type="dxa"/>
            <w:shd w:val="clear" w:color="auto" w:fill="auto"/>
            <w:tcMar>
              <w:top w:w="0" w:type="dxa"/>
              <w:left w:w="105" w:type="dxa"/>
              <w:bottom w:w="0" w:type="dxa"/>
              <w:right w:w="105" w:type="dxa"/>
            </w:tcMar>
            <w:vAlign w:val="center"/>
          </w:tcPr>
          <w:p>
            <w:pPr>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405" w:hRule="atLeast"/>
        </w:trPr>
        <w:tc>
          <w:tcPr>
            <w:tcW w:w="3381" w:type="dxa"/>
            <w:shd w:val="clear" w:color="auto" w:fill="auto"/>
            <w:tcMar>
              <w:top w:w="0" w:type="dxa"/>
              <w:left w:w="105" w:type="dxa"/>
              <w:bottom w:w="0" w:type="dxa"/>
              <w:right w:w="105" w:type="dxa"/>
            </w:tcMar>
            <w:vAlign w:val="center"/>
          </w:tcPr>
          <w:p>
            <w:pPr>
              <w:jc w:val="center"/>
              <w:rPr>
                <w:rFonts w:hint="eastAsia" w:ascii="仿宋" w:hAnsi="仿宋" w:eastAsia="仿宋" w:cs="仿宋"/>
                <w:color w:val="auto"/>
              </w:rPr>
            </w:pPr>
            <w:r>
              <w:rPr>
                <w:rFonts w:hint="eastAsia" w:ascii="仿宋" w:hAnsi="仿宋" w:eastAsia="仿宋" w:cs="仿宋"/>
                <w:color w:val="auto"/>
                <w:sz w:val="24"/>
                <w:szCs w:val="24"/>
                <w:lang w:eastAsia="zh-CN"/>
              </w:rPr>
              <w:t>国际经济与贸易</w:t>
            </w:r>
          </w:p>
        </w:tc>
        <w:tc>
          <w:tcPr>
            <w:tcW w:w="2712" w:type="dxa"/>
            <w:shd w:val="clear" w:color="auto" w:fill="auto"/>
            <w:tcMar>
              <w:top w:w="0" w:type="dxa"/>
              <w:left w:w="105" w:type="dxa"/>
              <w:bottom w:w="0" w:type="dxa"/>
              <w:right w:w="105" w:type="dxa"/>
            </w:tcMar>
            <w:vAlign w:val="center"/>
          </w:tcPr>
          <w:p>
            <w:pPr>
              <w:jc w:val="center"/>
              <w:rPr>
                <w:rFonts w:hint="default" w:ascii="仿宋" w:hAnsi="仿宋" w:eastAsia="仿宋" w:cs="仿宋"/>
                <w:color w:val="auto"/>
                <w:lang w:val="en-US"/>
              </w:rPr>
            </w:pPr>
            <w:r>
              <w:rPr>
                <w:rFonts w:hint="eastAsia" w:ascii="仿宋" w:hAnsi="仿宋" w:eastAsia="仿宋" w:cs="仿宋"/>
                <w:color w:val="auto"/>
                <w:sz w:val="24"/>
                <w:szCs w:val="24"/>
                <w:lang w:val="en-US" w:eastAsia="zh-CN"/>
              </w:rPr>
              <w:t>126</w:t>
            </w:r>
          </w:p>
        </w:tc>
        <w:tc>
          <w:tcPr>
            <w:tcW w:w="2227" w:type="dxa"/>
            <w:shd w:val="clear" w:color="auto" w:fill="auto"/>
            <w:tcMar>
              <w:top w:w="0" w:type="dxa"/>
              <w:left w:w="105" w:type="dxa"/>
              <w:bottom w:w="0" w:type="dxa"/>
              <w:right w:w="105" w:type="dxa"/>
            </w:tcMar>
            <w:vAlign w:val="center"/>
          </w:tcPr>
          <w:p>
            <w:pPr>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12</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560" w:lineRule="exact"/>
        <w:ind w:firstLine="640" w:firstLineChars="200"/>
        <w:jc w:val="both"/>
        <w:textAlignment w:val="auto"/>
        <w:rPr>
          <w:rFonts w:hint="eastAsia" w:ascii="黑体" w:hAnsi="黑体" w:eastAsia="黑体" w:cs="黑体"/>
          <w:bCs/>
          <w:kern w:val="0"/>
          <w:sz w:val="32"/>
          <w:szCs w:val="32"/>
          <w:lang w:val="en-US" w:eastAsia="zh-CN"/>
        </w:rPr>
      </w:pPr>
      <w:r>
        <w:rPr>
          <w:rFonts w:hint="eastAsia" w:ascii="黑体" w:hAnsi="黑体" w:eastAsia="黑体" w:cs="黑体"/>
          <w:bCs/>
          <w:kern w:val="0"/>
          <w:sz w:val="32"/>
          <w:szCs w:val="32"/>
          <w:lang w:val="en-US" w:eastAsia="zh-CN"/>
        </w:rPr>
        <w:t>三、接收条件</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仿宋_GB2312" w:hAnsi="华文中宋" w:eastAsia="仿宋_GB2312" w:cs="宋体"/>
          <w:bCs/>
          <w:kern w:val="0"/>
          <w:sz w:val="32"/>
          <w:szCs w:val="32"/>
          <w:lang w:val="en-US" w:eastAsia="zh-CN" w:bidi="ar-SA"/>
        </w:rPr>
      </w:pPr>
      <w:r>
        <w:rPr>
          <w:rFonts w:hint="eastAsia" w:ascii="仿宋_GB2312" w:hAnsi="华文中宋" w:eastAsia="仿宋_GB2312" w:cs="宋体"/>
          <w:bCs/>
          <w:kern w:val="0"/>
          <w:sz w:val="32"/>
          <w:szCs w:val="32"/>
          <w:lang w:val="en-US" w:eastAsia="zh-CN" w:bidi="ar-SA"/>
        </w:rPr>
        <w:t>申请转专业的学生需符合《河北政法职业学院转专业管理暂行办法》转专业基本条件的要求。</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仿宋_GB2312" w:hAnsi="华文中宋" w:eastAsia="仿宋_GB2312" w:cs="宋体"/>
          <w:bCs/>
          <w:kern w:val="0"/>
          <w:sz w:val="32"/>
          <w:szCs w:val="32"/>
          <w:lang w:val="en-US" w:eastAsia="zh-CN" w:bidi="ar-SA"/>
        </w:rPr>
      </w:pPr>
      <w:r>
        <w:rPr>
          <w:rFonts w:hint="eastAsia" w:ascii="仿宋_GB2312" w:hAnsi="华文中宋" w:eastAsia="仿宋_GB2312" w:cs="宋体"/>
          <w:bCs/>
          <w:kern w:val="0"/>
          <w:sz w:val="32"/>
          <w:szCs w:val="32"/>
          <w:lang w:val="en-US" w:eastAsia="zh-CN" w:bidi="ar-SA"/>
        </w:rPr>
        <w:t>有下列情形之一的，不予接收：</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仿宋_GB2312" w:hAnsi="华文中宋" w:eastAsia="仿宋_GB2312" w:cs="宋体"/>
          <w:bCs/>
          <w:kern w:val="0"/>
          <w:sz w:val="32"/>
          <w:szCs w:val="32"/>
          <w:lang w:val="en-US" w:eastAsia="zh-CN" w:bidi="ar-SA"/>
        </w:rPr>
      </w:pPr>
      <w:r>
        <w:rPr>
          <w:rFonts w:hint="eastAsia" w:ascii="仿宋_GB2312" w:hAnsi="华文中宋" w:eastAsia="仿宋_GB2312" w:cs="宋体"/>
          <w:bCs/>
          <w:kern w:val="0"/>
          <w:sz w:val="32"/>
          <w:szCs w:val="32"/>
          <w:lang w:val="en-US" w:eastAsia="zh-CN" w:bidi="ar-SA"/>
        </w:rPr>
        <w:t>（一）入学未满一学期或者毕业年级学生；</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仿宋_GB2312" w:hAnsi="华文中宋" w:eastAsia="仿宋_GB2312" w:cs="宋体"/>
          <w:bCs/>
          <w:kern w:val="0"/>
          <w:sz w:val="32"/>
          <w:szCs w:val="32"/>
          <w:lang w:val="en-US" w:eastAsia="zh-CN" w:bidi="ar-SA"/>
        </w:rPr>
      </w:pPr>
      <w:r>
        <w:rPr>
          <w:rFonts w:hint="eastAsia" w:ascii="仿宋_GB2312" w:hAnsi="华文中宋" w:eastAsia="仿宋_GB2312" w:cs="宋体"/>
          <w:bCs/>
          <w:kern w:val="0"/>
          <w:sz w:val="32"/>
          <w:szCs w:val="32"/>
          <w:lang w:val="en-US" w:eastAsia="zh-CN" w:bidi="ar-SA"/>
        </w:rPr>
        <w:t>（二）正在休学、保留学籍、保留入学资格的；</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仿宋_GB2312" w:hAnsi="华文中宋" w:eastAsia="仿宋_GB2312" w:cs="宋体"/>
          <w:bCs/>
          <w:kern w:val="0"/>
          <w:sz w:val="32"/>
          <w:szCs w:val="32"/>
          <w:lang w:val="en-US" w:eastAsia="zh-CN" w:bidi="ar-SA"/>
        </w:rPr>
      </w:pPr>
      <w:r>
        <w:rPr>
          <w:rFonts w:hint="eastAsia" w:ascii="仿宋_GB2312" w:hAnsi="华文中宋" w:eastAsia="仿宋_GB2312" w:cs="宋体"/>
          <w:bCs/>
          <w:kern w:val="0"/>
          <w:sz w:val="32"/>
          <w:szCs w:val="32"/>
          <w:lang w:val="en-US" w:eastAsia="zh-CN" w:bidi="ar-SA"/>
        </w:rPr>
        <w:t>（三）已达到退学条件的；</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仿宋_GB2312" w:hAnsi="华文中宋" w:eastAsia="仿宋_GB2312" w:cs="宋体"/>
          <w:bCs/>
          <w:kern w:val="0"/>
          <w:sz w:val="32"/>
          <w:szCs w:val="32"/>
          <w:lang w:val="en-US" w:eastAsia="zh-CN" w:bidi="ar-SA"/>
        </w:rPr>
      </w:pPr>
      <w:r>
        <w:rPr>
          <w:rFonts w:hint="eastAsia" w:ascii="仿宋_GB2312" w:hAnsi="华文中宋" w:eastAsia="仿宋_GB2312" w:cs="宋体"/>
          <w:bCs/>
          <w:kern w:val="0"/>
          <w:sz w:val="32"/>
          <w:szCs w:val="32"/>
          <w:lang w:val="en-US" w:eastAsia="zh-CN" w:bidi="ar-SA"/>
        </w:rPr>
        <w:t>（四）其他经学院审核认为不适合或者国家有相关规定的。</w:t>
      </w:r>
    </w:p>
    <w:p>
      <w:pPr>
        <w:keepNext w:val="0"/>
        <w:keepLines w:val="0"/>
        <w:pageBreakBefore w:val="0"/>
        <w:widowControl w:val="0"/>
        <w:numPr>
          <w:ilvl w:val="0"/>
          <w:numId w:val="0"/>
        </w:numPr>
        <w:kinsoku/>
        <w:wordWrap/>
        <w:overflowPunct/>
        <w:topLinePunct w:val="0"/>
        <w:autoSpaceDE/>
        <w:bidi w:val="0"/>
        <w:adjustRightInd/>
        <w:snapToGrid/>
        <w:spacing w:line="560" w:lineRule="exact"/>
        <w:ind w:firstLine="640" w:firstLineChars="200"/>
        <w:jc w:val="both"/>
        <w:textAlignment w:val="auto"/>
        <w:rPr>
          <w:rFonts w:hint="eastAsia" w:ascii="黑体" w:hAnsi="黑体" w:eastAsia="黑体" w:cs="黑体"/>
          <w:bCs/>
          <w:kern w:val="0"/>
          <w:sz w:val="32"/>
          <w:szCs w:val="32"/>
          <w:lang w:val="en-US" w:eastAsia="zh-CN"/>
        </w:rPr>
      </w:pPr>
      <w:r>
        <w:rPr>
          <w:rFonts w:hint="eastAsia" w:ascii="黑体" w:hAnsi="黑体" w:eastAsia="黑体" w:cs="黑体"/>
          <w:bCs/>
          <w:kern w:val="0"/>
          <w:sz w:val="32"/>
          <w:szCs w:val="32"/>
          <w:lang w:val="en-US" w:eastAsia="zh-CN"/>
        </w:rPr>
        <w:t>四、录取规则</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157" w:afterLines="50" w:afterAutospacing="0" w:line="560" w:lineRule="exact"/>
        <w:ind w:left="0" w:leftChars="0" w:right="0" w:firstLine="640" w:firstLineChars="200"/>
        <w:jc w:val="both"/>
        <w:textAlignment w:val="auto"/>
        <w:rPr>
          <w:rFonts w:hint="eastAsia" w:ascii="仿宋_GB2312" w:hAnsi="华文中宋" w:eastAsia="仿宋_GB2312" w:cs="宋体"/>
          <w:bCs/>
          <w:kern w:val="0"/>
          <w:sz w:val="32"/>
          <w:szCs w:val="32"/>
          <w:lang w:val="en-US" w:eastAsia="zh-CN" w:bidi="ar-SA"/>
        </w:rPr>
      </w:pPr>
      <w:r>
        <w:rPr>
          <w:rFonts w:hint="eastAsia" w:ascii="仿宋_GB2312" w:hAnsi="华文中宋" w:eastAsia="仿宋_GB2312" w:cs="宋体"/>
          <w:bCs/>
          <w:kern w:val="0"/>
          <w:sz w:val="32"/>
          <w:szCs w:val="32"/>
          <w:lang w:val="en-US" w:eastAsia="zh-CN" w:bidi="ar-SA"/>
        </w:rPr>
        <w:t>转专业成绩应由学生在校学习期间应修必修课平均成绩和各系选拔考核成绩两部分组成，学生没有考核不及格课程。在校学习期间应修必修课平均成绩占转专业总评成绩的70%，各系选拔面试成绩占转专业总评成绩的30%。接收系按转专业学生的最终总评成绩进行排序，依据接收计划，遵循“成绩优先”原则依次录取。选拔考核方式、内容根据各专业的培养目标和要求，组织实施选拔考核。</w:t>
      </w:r>
    </w:p>
    <w:tbl>
      <w:tblPr>
        <w:tblStyle w:val="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3392"/>
        <w:gridCol w:w="1616"/>
        <w:gridCol w:w="3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158" w:hRule="atLeast"/>
        </w:trPr>
        <w:tc>
          <w:tcPr>
            <w:tcW w:w="3392" w:type="dxa"/>
            <w:shd w:val="clear" w:color="auto" w:fill="auto"/>
            <w:tcMar>
              <w:top w:w="0" w:type="dxa"/>
              <w:left w:w="105" w:type="dxa"/>
              <w:bottom w:w="0" w:type="dxa"/>
              <w:right w:w="105" w:type="dxa"/>
            </w:tcMar>
            <w:vAlign w:val="center"/>
          </w:tcPr>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center"/>
              <w:textAlignment w:val="auto"/>
            </w:pPr>
            <w:r>
              <w:rPr>
                <w:rFonts w:hint="eastAsia" w:ascii="宋体" w:hAnsi="宋体" w:eastAsia="宋体" w:cs="宋体"/>
                <w:color w:val="000000"/>
                <w:sz w:val="28"/>
                <w:szCs w:val="28"/>
              </w:rPr>
              <w:t>专业</w:t>
            </w:r>
          </w:p>
        </w:tc>
        <w:tc>
          <w:tcPr>
            <w:tcW w:w="1616" w:type="dxa"/>
            <w:shd w:val="clear" w:color="auto" w:fill="auto"/>
            <w:tcMar>
              <w:top w:w="0" w:type="dxa"/>
              <w:left w:w="105" w:type="dxa"/>
              <w:bottom w:w="0" w:type="dxa"/>
              <w:right w:w="105" w:type="dxa"/>
            </w:tcMar>
            <w:vAlign w:val="center"/>
          </w:tcPr>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default"/>
                <w:lang w:val="en-US"/>
              </w:rPr>
            </w:pPr>
            <w:r>
              <w:rPr>
                <w:rFonts w:hint="eastAsia" w:ascii="宋体" w:hAnsi="宋体" w:eastAsia="宋体" w:cs="宋体"/>
                <w:color w:val="000000"/>
                <w:sz w:val="28"/>
                <w:szCs w:val="28"/>
                <w:lang w:val="en-US" w:eastAsia="zh-CN"/>
              </w:rPr>
              <w:t>考核方式</w:t>
            </w:r>
          </w:p>
        </w:tc>
        <w:tc>
          <w:tcPr>
            <w:tcW w:w="3265" w:type="dxa"/>
            <w:shd w:val="clear" w:color="auto" w:fill="auto"/>
            <w:tcMar>
              <w:top w:w="0" w:type="dxa"/>
              <w:left w:w="105" w:type="dxa"/>
              <w:bottom w:w="0" w:type="dxa"/>
              <w:right w:w="105" w:type="dxa"/>
            </w:tcMar>
            <w:vAlign w:val="center"/>
          </w:tcPr>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default" w:eastAsiaTheme="minorEastAsia"/>
                <w:lang w:val="en-US" w:eastAsia="zh-CN"/>
              </w:rPr>
            </w:pPr>
            <w:r>
              <w:rPr>
                <w:rFonts w:hint="eastAsia" w:ascii="宋体" w:hAnsi="宋体" w:eastAsia="宋体" w:cs="宋体"/>
                <w:color w:val="000000"/>
                <w:sz w:val="28"/>
                <w:szCs w:val="28"/>
                <w:lang w:val="en-US" w:eastAsia="zh-CN"/>
              </w:rPr>
              <w:t>考核内容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3" w:hRule="atLeast"/>
        </w:trPr>
        <w:tc>
          <w:tcPr>
            <w:tcW w:w="3392" w:type="dxa"/>
            <w:shd w:val="clear" w:color="auto" w:fill="auto"/>
            <w:tcMar>
              <w:top w:w="0" w:type="dxa"/>
              <w:left w:w="105" w:type="dxa"/>
              <w:bottom w:w="0" w:type="dxa"/>
              <w:right w:w="105" w:type="dxa"/>
            </w:tcMar>
            <w:vAlign w:val="center"/>
          </w:tcPr>
          <w:p>
            <w:pPr>
              <w:jc w:val="center"/>
            </w:pPr>
            <w:r>
              <w:rPr>
                <w:rFonts w:hint="eastAsia" w:ascii="仿宋" w:hAnsi="仿宋" w:eastAsia="仿宋" w:cs="仿宋"/>
                <w:sz w:val="24"/>
                <w:szCs w:val="24"/>
                <w:lang w:eastAsia="zh-CN"/>
              </w:rPr>
              <w:t>法律事务（</w:t>
            </w:r>
            <w:r>
              <w:rPr>
                <w:rFonts w:hint="eastAsia" w:ascii="仿宋" w:hAnsi="仿宋" w:eastAsia="仿宋" w:cs="仿宋"/>
                <w:color w:val="auto"/>
                <w:sz w:val="24"/>
                <w:szCs w:val="24"/>
                <w:lang w:eastAsia="zh-CN"/>
              </w:rPr>
              <w:t>国际商事法务方向</w:t>
            </w:r>
            <w:r>
              <w:rPr>
                <w:rFonts w:hint="eastAsia" w:ascii="仿宋" w:hAnsi="仿宋" w:eastAsia="仿宋" w:cs="仿宋"/>
                <w:sz w:val="24"/>
                <w:szCs w:val="24"/>
                <w:lang w:eastAsia="zh-CN"/>
              </w:rPr>
              <w:t>）</w:t>
            </w:r>
          </w:p>
        </w:tc>
        <w:tc>
          <w:tcPr>
            <w:tcW w:w="1616" w:type="dxa"/>
            <w:shd w:val="clear" w:color="auto" w:fill="auto"/>
            <w:tcMar>
              <w:top w:w="0" w:type="dxa"/>
              <w:left w:w="105" w:type="dxa"/>
              <w:bottom w:w="0" w:type="dxa"/>
              <w:right w:w="105" w:type="dxa"/>
            </w:tcMar>
            <w:vAlign w:val="center"/>
          </w:tcPr>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default" w:eastAsiaTheme="minorEastAsia"/>
                <w:lang w:val="en-US" w:eastAsia="zh-CN"/>
              </w:rPr>
            </w:pPr>
            <w:r>
              <w:rPr>
                <w:rFonts w:hint="eastAsia" w:ascii="仿宋" w:hAnsi="仿宋" w:eastAsia="仿宋" w:cs="仿宋"/>
                <w:color w:val="auto"/>
                <w:kern w:val="0"/>
                <w:sz w:val="24"/>
                <w:szCs w:val="24"/>
                <w:lang w:val="en-US" w:eastAsia="zh-CN" w:bidi="ar"/>
              </w:rPr>
              <w:t>面试</w:t>
            </w:r>
          </w:p>
        </w:tc>
        <w:tc>
          <w:tcPr>
            <w:tcW w:w="3265" w:type="dxa"/>
            <w:shd w:val="clear" w:color="auto" w:fill="auto"/>
            <w:tcMar>
              <w:top w:w="0" w:type="dxa"/>
              <w:left w:w="105" w:type="dxa"/>
              <w:bottom w:w="0" w:type="dxa"/>
              <w:right w:w="105" w:type="dxa"/>
            </w:tcMar>
            <w:vAlign w:val="center"/>
          </w:tcPr>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default"/>
                <w:color w:val="auto"/>
                <w:lang w:val="en-US"/>
              </w:rPr>
            </w:pPr>
            <w:r>
              <w:rPr>
                <w:rFonts w:hint="eastAsia" w:ascii="仿宋" w:hAnsi="仿宋" w:eastAsia="仿宋" w:cs="仿宋"/>
                <w:color w:val="auto"/>
                <w:sz w:val="24"/>
                <w:szCs w:val="24"/>
                <w:lang w:eastAsia="zh-CN"/>
              </w:rPr>
              <w:t>国际</w:t>
            </w:r>
            <w:r>
              <w:rPr>
                <w:rFonts w:hint="eastAsia" w:ascii="仿宋" w:hAnsi="仿宋" w:eastAsia="仿宋" w:cs="仿宋"/>
                <w:color w:val="auto"/>
                <w:sz w:val="24"/>
                <w:szCs w:val="24"/>
                <w:lang w:val="en-US" w:eastAsia="zh-CN"/>
              </w:rPr>
              <w:t>商事法务基础知识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283" w:hRule="atLeast"/>
        </w:trPr>
        <w:tc>
          <w:tcPr>
            <w:tcW w:w="3392" w:type="dxa"/>
            <w:shd w:val="clear" w:color="auto" w:fill="auto"/>
            <w:tcMar>
              <w:top w:w="0" w:type="dxa"/>
              <w:left w:w="105" w:type="dxa"/>
              <w:bottom w:w="0" w:type="dxa"/>
              <w:right w:w="105" w:type="dxa"/>
            </w:tcMar>
            <w:vAlign w:val="center"/>
          </w:tcPr>
          <w:p>
            <w:pPr>
              <w:jc w:val="center"/>
            </w:pPr>
            <w:r>
              <w:rPr>
                <w:rFonts w:hint="eastAsia" w:ascii="仿宋" w:hAnsi="仿宋" w:eastAsia="仿宋" w:cs="仿宋"/>
                <w:sz w:val="24"/>
                <w:szCs w:val="24"/>
                <w:lang w:eastAsia="zh-CN"/>
              </w:rPr>
              <w:t>法律事务（涉</w:t>
            </w:r>
            <w:r>
              <w:rPr>
                <w:rFonts w:hint="eastAsia" w:ascii="仿宋" w:hAnsi="仿宋" w:eastAsia="仿宋" w:cs="仿宋"/>
                <w:sz w:val="24"/>
                <w:szCs w:val="24"/>
                <w:lang w:val="en-US" w:eastAsia="zh-CN"/>
              </w:rPr>
              <w:t>外</w:t>
            </w:r>
            <w:r>
              <w:rPr>
                <w:rFonts w:hint="eastAsia" w:ascii="仿宋" w:hAnsi="仿宋" w:eastAsia="仿宋" w:cs="仿宋"/>
                <w:sz w:val="24"/>
                <w:szCs w:val="24"/>
                <w:lang w:eastAsia="zh-CN"/>
              </w:rPr>
              <w:t>法务方向）</w:t>
            </w:r>
          </w:p>
        </w:tc>
        <w:tc>
          <w:tcPr>
            <w:tcW w:w="1616" w:type="dxa"/>
            <w:shd w:val="clear" w:color="auto" w:fill="auto"/>
            <w:tcMar>
              <w:top w:w="0" w:type="dxa"/>
              <w:left w:w="105" w:type="dxa"/>
              <w:bottom w:w="0" w:type="dxa"/>
              <w:right w:w="10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center"/>
              <w:textAlignment w:val="auto"/>
            </w:pPr>
            <w:r>
              <w:rPr>
                <w:rFonts w:hint="eastAsia" w:ascii="仿宋" w:hAnsi="仿宋" w:eastAsia="仿宋" w:cs="仿宋"/>
                <w:color w:val="auto"/>
                <w:kern w:val="0"/>
                <w:sz w:val="24"/>
                <w:szCs w:val="24"/>
                <w:lang w:val="en-US" w:eastAsia="zh-CN" w:bidi="ar"/>
              </w:rPr>
              <w:t>面试</w:t>
            </w:r>
          </w:p>
        </w:tc>
        <w:tc>
          <w:tcPr>
            <w:tcW w:w="3265" w:type="dxa"/>
            <w:shd w:val="clear" w:color="auto" w:fill="auto"/>
            <w:tcMar>
              <w:top w:w="0" w:type="dxa"/>
              <w:left w:w="105" w:type="dxa"/>
              <w:bottom w:w="0" w:type="dxa"/>
              <w:right w:w="105" w:type="dxa"/>
            </w:tcMar>
            <w:vAlign w:val="center"/>
          </w:tcPr>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center"/>
              <w:textAlignment w:val="auto"/>
              <w:rPr>
                <w:color w:val="auto"/>
              </w:rPr>
            </w:pPr>
            <w:r>
              <w:rPr>
                <w:rFonts w:hint="eastAsia" w:ascii="仿宋" w:hAnsi="仿宋" w:eastAsia="仿宋" w:cs="仿宋"/>
                <w:color w:val="auto"/>
                <w:sz w:val="24"/>
                <w:szCs w:val="24"/>
                <w:lang w:eastAsia="zh-CN"/>
              </w:rPr>
              <w:t>涉</w:t>
            </w:r>
            <w:r>
              <w:rPr>
                <w:rFonts w:hint="eastAsia" w:ascii="仿宋" w:hAnsi="仿宋" w:eastAsia="仿宋" w:cs="仿宋"/>
                <w:color w:val="auto"/>
                <w:sz w:val="24"/>
                <w:szCs w:val="24"/>
                <w:lang w:val="en-US" w:eastAsia="zh-CN"/>
              </w:rPr>
              <w:t>外</w:t>
            </w:r>
            <w:r>
              <w:rPr>
                <w:rFonts w:hint="eastAsia" w:ascii="仿宋" w:hAnsi="仿宋" w:eastAsia="仿宋" w:cs="仿宋"/>
                <w:color w:val="auto"/>
                <w:sz w:val="24"/>
                <w:szCs w:val="24"/>
                <w:lang w:eastAsia="zh-CN"/>
              </w:rPr>
              <w:t>法务</w:t>
            </w:r>
            <w:r>
              <w:rPr>
                <w:rFonts w:hint="eastAsia" w:ascii="仿宋" w:hAnsi="仿宋" w:eastAsia="仿宋" w:cs="仿宋"/>
                <w:color w:val="auto"/>
                <w:sz w:val="24"/>
                <w:szCs w:val="24"/>
                <w:lang w:val="en-US" w:eastAsia="zh-CN"/>
              </w:rPr>
              <w:t>基础知识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3" w:hRule="atLeast"/>
        </w:trPr>
        <w:tc>
          <w:tcPr>
            <w:tcW w:w="3392" w:type="dxa"/>
            <w:shd w:val="clear" w:color="auto" w:fill="auto"/>
            <w:tcMar>
              <w:top w:w="0" w:type="dxa"/>
              <w:left w:w="105" w:type="dxa"/>
              <w:bottom w:w="0" w:type="dxa"/>
              <w:right w:w="105" w:type="dxa"/>
            </w:tcMar>
            <w:vAlign w:val="center"/>
          </w:tcPr>
          <w:p>
            <w:pPr>
              <w:jc w:val="center"/>
            </w:pPr>
            <w:r>
              <w:rPr>
                <w:rFonts w:hint="eastAsia" w:ascii="仿宋" w:hAnsi="仿宋" w:eastAsia="仿宋" w:cs="仿宋"/>
                <w:sz w:val="24"/>
                <w:szCs w:val="24"/>
                <w:lang w:eastAsia="zh-CN"/>
              </w:rPr>
              <w:t>法律事务（金融法务方向）</w:t>
            </w:r>
          </w:p>
        </w:tc>
        <w:tc>
          <w:tcPr>
            <w:tcW w:w="1616" w:type="dxa"/>
            <w:shd w:val="clear" w:color="auto" w:fill="auto"/>
            <w:tcMar>
              <w:top w:w="0" w:type="dxa"/>
              <w:left w:w="105" w:type="dxa"/>
              <w:bottom w:w="0" w:type="dxa"/>
              <w:right w:w="10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center"/>
              <w:textAlignment w:val="auto"/>
            </w:pPr>
            <w:r>
              <w:rPr>
                <w:rFonts w:hint="eastAsia" w:ascii="仿宋" w:hAnsi="仿宋" w:eastAsia="仿宋" w:cs="仿宋"/>
                <w:color w:val="auto"/>
                <w:kern w:val="0"/>
                <w:sz w:val="24"/>
                <w:szCs w:val="24"/>
                <w:lang w:val="en-US" w:eastAsia="zh-CN" w:bidi="ar"/>
              </w:rPr>
              <w:t>面试</w:t>
            </w:r>
          </w:p>
        </w:tc>
        <w:tc>
          <w:tcPr>
            <w:tcW w:w="3265" w:type="dxa"/>
            <w:shd w:val="clear" w:color="auto" w:fill="auto"/>
            <w:tcMar>
              <w:top w:w="0" w:type="dxa"/>
              <w:left w:w="105" w:type="dxa"/>
              <w:bottom w:w="0" w:type="dxa"/>
              <w:right w:w="105" w:type="dxa"/>
            </w:tcMar>
            <w:vAlign w:val="center"/>
          </w:tcPr>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center"/>
              <w:textAlignment w:val="auto"/>
              <w:rPr>
                <w:color w:val="auto"/>
              </w:rPr>
            </w:pPr>
            <w:r>
              <w:rPr>
                <w:rFonts w:hint="eastAsia" w:ascii="仿宋" w:hAnsi="仿宋" w:eastAsia="仿宋" w:cs="仿宋"/>
                <w:color w:val="auto"/>
                <w:sz w:val="24"/>
                <w:szCs w:val="24"/>
                <w:lang w:eastAsia="zh-CN"/>
              </w:rPr>
              <w:t>金融法务</w:t>
            </w:r>
            <w:r>
              <w:rPr>
                <w:rFonts w:hint="eastAsia" w:ascii="仿宋" w:hAnsi="仿宋" w:eastAsia="仿宋" w:cs="仿宋"/>
                <w:color w:val="auto"/>
                <w:sz w:val="24"/>
                <w:szCs w:val="24"/>
                <w:lang w:val="en-US" w:eastAsia="zh-CN"/>
              </w:rPr>
              <w:t>基础知识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283" w:hRule="atLeast"/>
        </w:trPr>
        <w:tc>
          <w:tcPr>
            <w:tcW w:w="3392" w:type="dxa"/>
            <w:shd w:val="clear" w:color="auto" w:fill="auto"/>
            <w:tcMar>
              <w:top w:w="0" w:type="dxa"/>
              <w:left w:w="105" w:type="dxa"/>
              <w:bottom w:w="0" w:type="dxa"/>
              <w:right w:w="105" w:type="dxa"/>
            </w:tcMar>
            <w:vAlign w:val="center"/>
          </w:tcPr>
          <w:p>
            <w:pPr>
              <w:jc w:val="center"/>
            </w:pPr>
            <w:r>
              <w:rPr>
                <w:rFonts w:hint="eastAsia" w:ascii="仿宋" w:hAnsi="仿宋" w:eastAsia="仿宋" w:cs="仿宋"/>
                <w:sz w:val="24"/>
                <w:szCs w:val="24"/>
                <w:lang w:eastAsia="zh-CN"/>
              </w:rPr>
              <w:t>金融服务与管理</w:t>
            </w:r>
          </w:p>
        </w:tc>
        <w:tc>
          <w:tcPr>
            <w:tcW w:w="1616" w:type="dxa"/>
            <w:shd w:val="clear" w:color="auto" w:fill="auto"/>
            <w:tcMar>
              <w:top w:w="0" w:type="dxa"/>
              <w:left w:w="105" w:type="dxa"/>
              <w:bottom w:w="0" w:type="dxa"/>
              <w:right w:w="10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center"/>
              <w:textAlignment w:val="auto"/>
            </w:pPr>
            <w:r>
              <w:rPr>
                <w:rFonts w:hint="eastAsia" w:ascii="仿宋" w:hAnsi="仿宋" w:eastAsia="仿宋" w:cs="仿宋"/>
                <w:color w:val="auto"/>
                <w:kern w:val="0"/>
                <w:sz w:val="24"/>
                <w:szCs w:val="24"/>
                <w:lang w:val="en-US" w:eastAsia="zh-CN" w:bidi="ar"/>
              </w:rPr>
              <w:t>面试</w:t>
            </w:r>
          </w:p>
        </w:tc>
        <w:tc>
          <w:tcPr>
            <w:tcW w:w="3265" w:type="dxa"/>
            <w:shd w:val="clear" w:color="auto" w:fill="auto"/>
            <w:tcMar>
              <w:top w:w="0" w:type="dxa"/>
              <w:left w:w="105" w:type="dxa"/>
              <w:bottom w:w="0" w:type="dxa"/>
              <w:right w:w="105" w:type="dxa"/>
            </w:tcMar>
            <w:vAlign w:val="center"/>
          </w:tcPr>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center"/>
              <w:textAlignment w:val="auto"/>
              <w:rPr>
                <w:color w:val="auto"/>
              </w:rPr>
            </w:pPr>
            <w:r>
              <w:rPr>
                <w:rFonts w:hint="eastAsia" w:ascii="仿宋" w:hAnsi="仿宋" w:eastAsia="仿宋" w:cs="仿宋"/>
                <w:color w:val="auto"/>
                <w:sz w:val="24"/>
                <w:szCs w:val="24"/>
                <w:lang w:eastAsia="zh-CN"/>
              </w:rPr>
              <w:t>金融服务与管理</w:t>
            </w:r>
            <w:r>
              <w:rPr>
                <w:rFonts w:hint="eastAsia" w:ascii="仿宋" w:hAnsi="仿宋" w:eastAsia="仿宋" w:cs="仿宋"/>
                <w:color w:val="auto"/>
                <w:sz w:val="24"/>
                <w:szCs w:val="24"/>
                <w:lang w:val="en-US" w:eastAsia="zh-CN"/>
              </w:rPr>
              <w:t>基础知识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283" w:hRule="atLeast"/>
        </w:trPr>
        <w:tc>
          <w:tcPr>
            <w:tcW w:w="3392" w:type="dxa"/>
            <w:shd w:val="clear" w:color="auto" w:fill="auto"/>
            <w:tcMar>
              <w:top w:w="0" w:type="dxa"/>
              <w:left w:w="105" w:type="dxa"/>
              <w:bottom w:w="0" w:type="dxa"/>
              <w:right w:w="105" w:type="dxa"/>
            </w:tcMar>
            <w:vAlign w:val="center"/>
          </w:tcPr>
          <w:p>
            <w:pPr>
              <w:jc w:val="center"/>
            </w:pPr>
            <w:r>
              <w:rPr>
                <w:rFonts w:hint="eastAsia" w:ascii="仿宋" w:hAnsi="仿宋" w:eastAsia="仿宋" w:cs="仿宋"/>
                <w:sz w:val="24"/>
                <w:szCs w:val="24"/>
                <w:lang w:eastAsia="zh-CN"/>
              </w:rPr>
              <w:t>国际经济与贸易</w:t>
            </w:r>
          </w:p>
        </w:tc>
        <w:tc>
          <w:tcPr>
            <w:tcW w:w="1616" w:type="dxa"/>
            <w:shd w:val="clear" w:color="auto" w:fill="auto"/>
            <w:tcMar>
              <w:top w:w="0" w:type="dxa"/>
              <w:left w:w="105" w:type="dxa"/>
              <w:bottom w:w="0" w:type="dxa"/>
              <w:right w:w="10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center"/>
              <w:textAlignment w:val="auto"/>
            </w:pPr>
            <w:r>
              <w:rPr>
                <w:rFonts w:hint="eastAsia" w:ascii="仿宋" w:hAnsi="仿宋" w:eastAsia="仿宋" w:cs="仿宋"/>
                <w:color w:val="auto"/>
                <w:kern w:val="0"/>
                <w:sz w:val="24"/>
                <w:szCs w:val="24"/>
                <w:lang w:val="en-US" w:eastAsia="zh-CN" w:bidi="ar"/>
              </w:rPr>
              <w:t>面试</w:t>
            </w:r>
          </w:p>
        </w:tc>
        <w:tc>
          <w:tcPr>
            <w:tcW w:w="3265" w:type="dxa"/>
            <w:shd w:val="clear" w:color="auto" w:fill="auto"/>
            <w:tcMar>
              <w:top w:w="0" w:type="dxa"/>
              <w:left w:w="105" w:type="dxa"/>
              <w:bottom w:w="0" w:type="dxa"/>
              <w:right w:w="105" w:type="dxa"/>
            </w:tcMar>
            <w:vAlign w:val="center"/>
          </w:tcPr>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center"/>
              <w:textAlignment w:val="auto"/>
              <w:rPr>
                <w:color w:val="auto"/>
              </w:rPr>
            </w:pPr>
            <w:r>
              <w:rPr>
                <w:rFonts w:hint="eastAsia" w:ascii="仿宋" w:hAnsi="仿宋" w:eastAsia="仿宋" w:cs="仿宋"/>
                <w:color w:val="auto"/>
                <w:sz w:val="24"/>
                <w:szCs w:val="24"/>
                <w:lang w:eastAsia="zh-CN"/>
              </w:rPr>
              <w:t>国际经济与贸易</w:t>
            </w:r>
            <w:r>
              <w:rPr>
                <w:rFonts w:hint="eastAsia" w:ascii="仿宋" w:hAnsi="仿宋" w:eastAsia="仿宋" w:cs="仿宋"/>
                <w:color w:val="auto"/>
                <w:sz w:val="24"/>
                <w:szCs w:val="24"/>
                <w:lang w:val="en-US" w:eastAsia="zh-CN"/>
              </w:rPr>
              <w:t>基础知识</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560" w:lineRule="exact"/>
        <w:ind w:firstLine="640" w:firstLineChars="200"/>
        <w:jc w:val="both"/>
        <w:textAlignment w:val="auto"/>
        <w:rPr>
          <w:rFonts w:hint="eastAsia" w:ascii="黑体" w:hAnsi="黑体" w:eastAsia="黑体" w:cs="黑体"/>
          <w:bCs/>
          <w:kern w:val="0"/>
          <w:sz w:val="32"/>
          <w:szCs w:val="32"/>
          <w:lang w:val="en-US" w:eastAsia="zh-CN"/>
        </w:rPr>
      </w:pPr>
      <w:bookmarkStart w:id="0" w:name="_GoBack"/>
      <w:r>
        <w:rPr>
          <w:rFonts w:hint="eastAsia" w:ascii="黑体" w:hAnsi="黑体" w:eastAsia="黑体" w:cs="黑体"/>
          <w:bCs/>
          <w:kern w:val="0"/>
          <w:sz w:val="32"/>
          <w:szCs w:val="32"/>
          <w:lang w:val="en-US" w:eastAsia="zh-CN"/>
        </w:rPr>
        <w:t>五、工作程序</w:t>
      </w:r>
    </w:p>
    <w:bookmarkEnd w:id="0"/>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仿宋_GB2312" w:hAnsi="华文中宋" w:eastAsia="仿宋_GB2312" w:cs="宋体"/>
          <w:bCs/>
          <w:kern w:val="0"/>
          <w:sz w:val="32"/>
          <w:szCs w:val="32"/>
          <w:lang w:val="en-US" w:eastAsia="zh-CN" w:bidi="ar-SA"/>
        </w:rPr>
      </w:pPr>
      <w:r>
        <w:rPr>
          <w:rFonts w:hint="eastAsia" w:ascii="仿宋_GB2312" w:hAnsi="华文中宋" w:eastAsia="仿宋_GB2312" w:cs="宋体"/>
          <w:bCs/>
          <w:kern w:val="0"/>
          <w:sz w:val="32"/>
          <w:szCs w:val="32"/>
          <w:lang w:val="en-US" w:eastAsia="zh-CN" w:bidi="ar-SA"/>
        </w:rPr>
        <w:t>1.春季学期第1周，组织转专业考核，并根据国际法商系转专业实施细则，确定转专业学生名单并公示3日。公示无异议后将拟转专业学生名单及其申请表报教务处。</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仿宋_GB2312" w:hAnsi="华文中宋" w:eastAsia="仿宋_GB2312" w:cs="宋体"/>
          <w:bCs/>
          <w:kern w:val="0"/>
          <w:sz w:val="32"/>
          <w:szCs w:val="32"/>
          <w:lang w:val="en-US" w:eastAsia="zh-CN" w:bidi="ar-SA"/>
        </w:rPr>
      </w:pPr>
      <w:r>
        <w:rPr>
          <w:rFonts w:hint="eastAsia" w:ascii="仿宋_GB2312" w:hAnsi="华文中宋" w:eastAsia="仿宋_GB2312" w:cs="宋体"/>
          <w:bCs/>
          <w:kern w:val="0"/>
          <w:sz w:val="32"/>
          <w:szCs w:val="32"/>
          <w:lang w:val="en-US" w:eastAsia="zh-CN" w:bidi="ar-SA"/>
        </w:rPr>
        <w:t>2.春季学期第2周，教务处公示，公示无异议后，报学院审批。</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jc w:val="both"/>
        <w:textAlignment w:val="auto"/>
        <w:rPr>
          <w:rFonts w:hint="eastAsia" w:ascii="仿宋_GB2312" w:hAnsi="华文中宋" w:eastAsia="仿宋_GB2312" w:cs="宋体"/>
          <w:bCs/>
          <w:color w:val="auto"/>
          <w:kern w:val="0"/>
          <w:sz w:val="32"/>
          <w:szCs w:val="32"/>
          <w:highlight w:val="none"/>
          <w:lang w:val="en-US" w:eastAsia="zh-CN" w:bidi="ar-SA"/>
        </w:rPr>
      </w:pPr>
      <w:r>
        <w:rPr>
          <w:rFonts w:hint="eastAsia" w:ascii="仿宋_GB2312" w:hAnsi="华文中宋" w:eastAsia="仿宋_GB2312" w:cs="宋体"/>
          <w:bCs/>
          <w:kern w:val="0"/>
          <w:sz w:val="32"/>
          <w:szCs w:val="32"/>
          <w:lang w:val="en-US" w:eastAsia="zh-CN" w:bidi="ar-SA"/>
        </w:rPr>
        <w:t>3.教务处公布</w:t>
      </w:r>
      <w:r>
        <w:rPr>
          <w:rFonts w:hint="eastAsia" w:ascii="仿宋_GB2312" w:hAnsi="华文中宋" w:eastAsia="仿宋_GB2312" w:cs="宋体"/>
          <w:bCs/>
          <w:kern w:val="0"/>
          <w:sz w:val="32"/>
          <w:szCs w:val="32"/>
          <w:highlight w:val="none"/>
          <w:lang w:val="en-US" w:eastAsia="zh-CN" w:bidi="ar-SA"/>
        </w:rPr>
        <w:t>经学院审批后的</w:t>
      </w:r>
      <w:r>
        <w:rPr>
          <w:rFonts w:hint="eastAsia" w:ascii="仿宋_GB2312" w:hAnsi="华文中宋" w:eastAsia="仿宋_GB2312" w:cs="宋体"/>
          <w:bCs/>
          <w:kern w:val="0"/>
          <w:sz w:val="32"/>
          <w:szCs w:val="32"/>
          <w:lang w:val="en-US" w:eastAsia="zh-CN" w:bidi="ar-SA"/>
        </w:rPr>
        <w:t>转专业学生名单并办理转专业手续（见附件</w:t>
      </w:r>
      <w:r>
        <w:rPr>
          <w:rFonts w:hint="eastAsia" w:ascii="仿宋_GB2312" w:hAnsi="华文中宋" w:eastAsia="仿宋_GB2312" w:cs="宋体"/>
          <w:bCs/>
          <w:color w:val="auto"/>
          <w:kern w:val="0"/>
          <w:sz w:val="32"/>
          <w:szCs w:val="32"/>
          <w:lang w:val="en-US" w:eastAsia="zh-CN" w:bidi="ar-SA"/>
        </w:rPr>
        <w:t>），</w:t>
      </w:r>
      <w:r>
        <w:rPr>
          <w:rFonts w:hint="eastAsia" w:ascii="仿宋_GB2312" w:hAnsi="华文中宋" w:eastAsia="仿宋_GB2312" w:cs="宋体"/>
          <w:bCs/>
          <w:color w:val="auto"/>
          <w:kern w:val="0"/>
          <w:sz w:val="32"/>
          <w:szCs w:val="32"/>
          <w:highlight w:val="none"/>
          <w:lang w:val="en-US" w:eastAsia="zh-CN" w:bidi="ar-SA"/>
        </w:rPr>
        <w:t>学生应在规定时间内办妥相关转入及补退选课手续。</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default" w:ascii="仿宋_GB2312" w:hAnsi="华文中宋" w:eastAsia="仿宋_GB2312" w:cs="宋体"/>
          <w:bCs/>
          <w:kern w:val="0"/>
          <w:sz w:val="32"/>
          <w:szCs w:val="32"/>
          <w:lang w:val="en-US" w:eastAsia="zh-CN" w:bidi="ar-SA"/>
        </w:rPr>
      </w:pPr>
      <w:r>
        <w:rPr>
          <w:rFonts w:hint="eastAsia" w:ascii="仿宋_GB2312" w:hAnsi="华文中宋" w:eastAsia="仿宋_GB2312" w:cs="宋体"/>
          <w:bCs/>
          <w:kern w:val="0"/>
          <w:sz w:val="32"/>
          <w:szCs w:val="32"/>
          <w:lang w:val="en-US" w:eastAsia="zh-CN" w:bidi="ar-SA"/>
        </w:rPr>
        <w:t>通知中未尽事宜依照《河北政法职业学院转专业管理暂行办法》执行。</w:t>
      </w:r>
    </w:p>
    <w:p>
      <w:pPr>
        <w:keepNext w:val="0"/>
        <w:keepLines w:val="0"/>
        <w:pageBreakBefore w:val="0"/>
        <w:widowControl w:val="0"/>
        <w:numPr>
          <w:ilvl w:val="0"/>
          <w:numId w:val="0"/>
        </w:numPr>
        <w:kinsoku/>
        <w:wordWrap/>
        <w:overflowPunct/>
        <w:topLinePunct w:val="0"/>
        <w:autoSpaceDE/>
        <w:bidi w:val="0"/>
        <w:adjustRightInd/>
        <w:snapToGrid/>
        <w:spacing w:line="560" w:lineRule="exact"/>
        <w:ind w:firstLine="640" w:firstLineChars="200"/>
        <w:jc w:val="both"/>
        <w:textAlignment w:val="auto"/>
        <w:rPr>
          <w:rFonts w:hint="eastAsia" w:ascii="黑体" w:hAnsi="黑体" w:eastAsia="黑体" w:cs="黑体"/>
          <w:bCs/>
          <w:kern w:val="0"/>
          <w:sz w:val="32"/>
          <w:szCs w:val="32"/>
          <w:lang w:val="en-US" w:eastAsia="zh-CN"/>
        </w:rPr>
      </w:pPr>
      <w:r>
        <w:rPr>
          <w:rFonts w:hint="eastAsia" w:ascii="黑体" w:hAnsi="黑体" w:eastAsia="黑体" w:cs="黑体"/>
          <w:bCs/>
          <w:kern w:val="0"/>
          <w:sz w:val="32"/>
          <w:szCs w:val="32"/>
          <w:lang w:val="en-US" w:eastAsia="zh-CN"/>
        </w:rPr>
        <w:t>六、工作要求</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仿宋_GB2312" w:hAnsi="华文中宋" w:eastAsia="仿宋_GB2312" w:cs="宋体"/>
          <w:bCs/>
          <w:kern w:val="0"/>
          <w:sz w:val="32"/>
          <w:szCs w:val="32"/>
          <w:lang w:val="en-US" w:eastAsia="zh-CN" w:bidi="ar-SA"/>
        </w:rPr>
      </w:pPr>
      <w:r>
        <w:rPr>
          <w:rFonts w:hint="eastAsia" w:ascii="仿宋_GB2312" w:hAnsi="华文中宋" w:eastAsia="仿宋_GB2312" w:cs="宋体"/>
          <w:bCs/>
          <w:kern w:val="0"/>
          <w:sz w:val="32"/>
          <w:szCs w:val="32"/>
          <w:lang w:val="en-US" w:eastAsia="zh-CN" w:bidi="ar-SA"/>
        </w:rPr>
        <w:t>转专业工作事关学生利益，各专业负责人要高度重视，实施过程中，如发现弄虚作假等现象，将严肃追究相关人员责任。</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default" w:ascii="仿宋_GB2312" w:hAnsi="仿宋_GB2312" w:eastAsia="仿宋_GB2312" w:cs="仿宋_GB2312"/>
          <w:color w:val="000000"/>
          <w:sz w:val="32"/>
          <w:szCs w:val="32"/>
          <w:shd w:val="clear" w:color="auto" w:fill="FFFFFF"/>
          <w:lang w:val="en-US" w:eastAsia="zh-CN"/>
        </w:rPr>
      </w:pPr>
      <w:r>
        <w:rPr>
          <w:rFonts w:hint="eastAsia" w:ascii="仿宋_GB2312" w:hAnsi="仿宋_GB2312" w:eastAsia="仿宋_GB2312" w:cs="仿宋_GB2312"/>
          <w:color w:val="000000"/>
          <w:sz w:val="32"/>
          <w:szCs w:val="32"/>
          <w:shd w:val="clear" w:color="auto" w:fill="FFFFFF"/>
          <w:lang w:val="en-US" w:eastAsia="zh-CN"/>
        </w:rPr>
        <w:t>咨询老师：</w:t>
      </w:r>
    </w:p>
    <w:p>
      <w:p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张</w:t>
      </w:r>
      <w:r>
        <w:rPr>
          <w:rFonts w:hint="eastAsia" w:ascii="仿宋" w:hAnsi="仿宋" w:eastAsia="仿宋" w:cs="仿宋"/>
          <w:sz w:val="32"/>
          <w:szCs w:val="32"/>
        </w:rPr>
        <w:t>老师</w:t>
      </w:r>
      <w:r>
        <w:rPr>
          <w:rFonts w:hint="eastAsia" w:ascii="仿宋" w:hAnsi="仿宋" w:eastAsia="仿宋" w:cs="仿宋"/>
          <w:sz w:val="32"/>
          <w:szCs w:val="32"/>
          <w:lang w:val="en-US" w:eastAsia="zh-CN"/>
        </w:rPr>
        <w:t>13613302323</w:t>
      </w:r>
    </w:p>
    <w:p>
      <w:p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赵</w:t>
      </w:r>
      <w:r>
        <w:rPr>
          <w:rFonts w:hint="eastAsia" w:ascii="仿宋" w:hAnsi="仿宋" w:eastAsia="仿宋" w:cs="仿宋"/>
          <w:sz w:val="32"/>
          <w:szCs w:val="32"/>
        </w:rPr>
        <w:t>老师</w:t>
      </w:r>
      <w:r>
        <w:rPr>
          <w:rFonts w:hint="eastAsia" w:ascii="仿宋" w:hAnsi="仿宋" w:eastAsia="仿宋" w:cs="仿宋"/>
          <w:sz w:val="32"/>
          <w:szCs w:val="32"/>
          <w:lang w:val="en-US" w:eastAsia="zh-CN"/>
        </w:rPr>
        <w:t>18830661558</w:t>
      </w:r>
    </w:p>
    <w:p>
      <w:p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孙老师</w:t>
      </w:r>
      <w:r>
        <w:rPr>
          <w:rFonts w:hint="eastAsia" w:ascii="仿宋" w:hAnsi="仿宋" w:eastAsia="仿宋" w:cs="仿宋"/>
          <w:sz w:val="32"/>
          <w:szCs w:val="32"/>
          <w:lang w:val="en-US" w:eastAsia="zh-CN"/>
        </w:rPr>
        <w:t>15511825089</w:t>
      </w:r>
    </w:p>
    <w:p>
      <w:p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边</w:t>
      </w:r>
      <w:r>
        <w:rPr>
          <w:rFonts w:hint="eastAsia" w:ascii="仿宋" w:hAnsi="仿宋" w:eastAsia="仿宋" w:cs="仿宋"/>
          <w:sz w:val="32"/>
          <w:szCs w:val="32"/>
        </w:rPr>
        <w:t>老师</w:t>
      </w:r>
      <w:r>
        <w:rPr>
          <w:rFonts w:hint="eastAsia" w:ascii="仿宋" w:hAnsi="仿宋" w:eastAsia="仿宋" w:cs="仿宋"/>
          <w:sz w:val="32"/>
          <w:szCs w:val="32"/>
          <w:lang w:val="en-US" w:eastAsia="zh-CN"/>
        </w:rPr>
        <w:t>13930469617</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ascii="仿宋" w:hAnsi="仿宋" w:eastAsia="仿宋" w:cs="仿宋"/>
          <w:sz w:val="32"/>
          <w:szCs w:val="32"/>
          <w:lang w:val="en-US" w:eastAsia="zh-CN"/>
        </w:rPr>
        <w:t>孙</w:t>
      </w:r>
      <w:r>
        <w:rPr>
          <w:rFonts w:hint="eastAsia" w:ascii="仿宋" w:hAnsi="仿宋" w:eastAsia="仿宋" w:cs="仿宋"/>
          <w:sz w:val="32"/>
          <w:szCs w:val="32"/>
        </w:rPr>
        <w:t>老师1</w:t>
      </w:r>
      <w:r>
        <w:rPr>
          <w:rFonts w:hint="eastAsia" w:ascii="仿宋" w:hAnsi="仿宋" w:eastAsia="仿宋" w:cs="仿宋"/>
          <w:sz w:val="32"/>
          <w:szCs w:val="32"/>
          <w:lang w:val="en-US" w:eastAsia="zh-CN"/>
        </w:rPr>
        <w:t>3503290836</w:t>
      </w:r>
      <w:r>
        <w:rPr>
          <w:rFonts w:hint="eastAsia" w:ascii="宋体" w:hAnsi="宋体" w:eastAsia="宋体" w:cs="宋体"/>
          <w:i w:val="0"/>
          <w:iCs w:val="0"/>
          <w:caps w:val="0"/>
          <w:color w:val="000000"/>
          <w:spacing w:val="0"/>
          <w:sz w:val="28"/>
          <w:szCs w:val="28"/>
          <w:shd w:val="clear" w:fill="FFFFFF"/>
        </w:rPr>
        <w:t> </w:t>
      </w:r>
    </w:p>
    <w:p>
      <w:pPr>
        <w:keepNext w:val="0"/>
        <w:keepLines w:val="0"/>
        <w:pageBreakBefore w:val="0"/>
        <w:widowControl w:val="0"/>
        <w:numPr>
          <w:ilvl w:val="0"/>
          <w:numId w:val="0"/>
        </w:numPr>
        <w:kinsoku/>
        <w:wordWrap/>
        <w:overflowPunct/>
        <w:topLinePunct w:val="0"/>
        <w:autoSpaceDE/>
        <w:bidi w:val="0"/>
        <w:adjustRightInd/>
        <w:snapToGrid/>
        <w:spacing w:line="560" w:lineRule="exact"/>
        <w:ind w:firstLine="560" w:firstLineChars="200"/>
        <w:jc w:val="center"/>
        <w:textAlignment w:val="auto"/>
        <w:rPr>
          <w:rFonts w:hint="eastAsia" w:ascii="仿宋_GB2312" w:hAnsi="华文中宋" w:eastAsia="仿宋_GB2312" w:cs="宋体"/>
          <w:bCs/>
          <w:kern w:val="0"/>
          <w:sz w:val="32"/>
          <w:szCs w:val="32"/>
          <w:lang w:val="en-US" w:eastAsia="zh-CN" w:bidi="ar-SA"/>
        </w:rPr>
      </w:pPr>
      <w:r>
        <w:rPr>
          <w:rFonts w:hint="eastAsia" w:ascii="宋体" w:hAnsi="宋体" w:eastAsia="宋体" w:cs="宋体"/>
          <w:i w:val="0"/>
          <w:iCs w:val="0"/>
          <w:caps w:val="0"/>
          <w:color w:val="000000"/>
          <w:spacing w:val="0"/>
          <w:sz w:val="28"/>
          <w:szCs w:val="28"/>
          <w:shd w:val="clear" w:fill="FFFFFF"/>
          <w:lang w:val="en-US" w:eastAsia="zh-CN"/>
        </w:rPr>
        <w:t xml:space="preserve">                                        </w:t>
      </w:r>
      <w:r>
        <w:rPr>
          <w:rFonts w:hint="eastAsia" w:ascii="仿宋_GB2312" w:hAnsi="华文中宋" w:eastAsia="仿宋_GB2312" w:cs="宋体"/>
          <w:bCs/>
          <w:kern w:val="0"/>
          <w:sz w:val="32"/>
          <w:szCs w:val="32"/>
          <w:lang w:val="en-US" w:eastAsia="zh-CN" w:bidi="ar-SA"/>
        </w:rPr>
        <w:t xml:space="preserve"> 国际法商系 </w:t>
      </w:r>
    </w:p>
    <w:p>
      <w:pPr>
        <w:keepNext w:val="0"/>
        <w:keepLines w:val="0"/>
        <w:pageBreakBefore w:val="0"/>
        <w:widowControl w:val="0"/>
        <w:numPr>
          <w:ilvl w:val="0"/>
          <w:numId w:val="0"/>
        </w:numPr>
        <w:kinsoku/>
        <w:wordWrap/>
        <w:overflowPunct/>
        <w:topLinePunct w:val="0"/>
        <w:autoSpaceDE/>
        <w:bidi w:val="0"/>
        <w:adjustRightInd/>
        <w:snapToGrid/>
        <w:spacing w:line="560" w:lineRule="exact"/>
        <w:ind w:firstLine="640" w:firstLineChars="200"/>
        <w:jc w:val="right"/>
        <w:textAlignment w:val="auto"/>
      </w:pPr>
      <w:r>
        <w:rPr>
          <w:rFonts w:hint="eastAsia" w:ascii="仿宋_GB2312" w:hAnsi="华文中宋" w:eastAsia="仿宋_GB2312" w:cs="宋体"/>
          <w:bCs/>
          <w:kern w:val="0"/>
          <w:sz w:val="32"/>
          <w:szCs w:val="32"/>
          <w:lang w:val="en-US" w:eastAsia="zh-CN" w:bidi="ar-SA"/>
        </w:rPr>
        <w:t xml:space="preserve">2024年12月16日   </w:t>
      </w:r>
      <w:r>
        <w:rPr>
          <w:rFonts w:hint="eastAsia" w:ascii="宋体" w:hAnsi="宋体" w:eastAsia="宋体" w:cs="宋体"/>
          <w:i w:val="0"/>
          <w:iCs w:val="0"/>
          <w:caps w:val="0"/>
          <w:color w:val="000000"/>
          <w:spacing w:val="0"/>
          <w:sz w:val="28"/>
          <w:szCs w:val="28"/>
          <w:shd w:val="clear" w:fill="FFFFFF"/>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F6CCD5A-149A-4349-85FE-435EE18E765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embedRegular r:id="rId2" w:fontKey="{C32D403D-B601-463E-A09E-A0AE932274C2}"/>
  </w:font>
  <w:font w:name="方正公文小标宋">
    <w:panose1 w:val="02000500000000000000"/>
    <w:charset w:val="86"/>
    <w:family w:val="auto"/>
    <w:pitch w:val="default"/>
    <w:sig w:usb0="A00002BF" w:usb1="38CF7CFA" w:usb2="00000016" w:usb3="00000000" w:csb0="00040001" w:csb1="00000000"/>
    <w:embedRegular r:id="rId3" w:fontKey="{374D77F2-2636-4F21-8DDA-1240389B9F8F}"/>
  </w:font>
  <w:font w:name="仿宋_GB2312">
    <w:panose1 w:val="02010609030101010101"/>
    <w:charset w:val="86"/>
    <w:family w:val="modern"/>
    <w:pitch w:val="default"/>
    <w:sig w:usb0="00000001" w:usb1="080E0000" w:usb2="00000000" w:usb3="00000000" w:csb0="00040000" w:csb1="00000000"/>
    <w:embedRegular r:id="rId4" w:fontKey="{9D411687-A2D6-4886-9BA3-7B8707539662}"/>
  </w:font>
  <w:font w:name="方正仿宋_GB2312">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embedRegular r:id="rId5" w:fontKey="{B3725870-D991-4771-8131-1B4C4BE29F77}"/>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RiMTdiNGU5ZGMxYmU3YzhiZGNjZTIwNDAxN2Q3MzEifQ=="/>
    <w:docVar w:name="KSO_WPS_MARK_KEY" w:val="8d6ece04-72e6-4f3b-8991-684302416a54"/>
  </w:docVars>
  <w:rsids>
    <w:rsidRoot w:val="00000000"/>
    <w:rsid w:val="01BA52D8"/>
    <w:rsid w:val="02A31EC4"/>
    <w:rsid w:val="084471C5"/>
    <w:rsid w:val="088D4230"/>
    <w:rsid w:val="0993130D"/>
    <w:rsid w:val="0B5D3EFD"/>
    <w:rsid w:val="0BF40511"/>
    <w:rsid w:val="0CC872A8"/>
    <w:rsid w:val="0D333F71"/>
    <w:rsid w:val="0E263DF8"/>
    <w:rsid w:val="1212015E"/>
    <w:rsid w:val="12597320"/>
    <w:rsid w:val="147528F7"/>
    <w:rsid w:val="18236F14"/>
    <w:rsid w:val="1DD70C9A"/>
    <w:rsid w:val="224308EF"/>
    <w:rsid w:val="252C44E8"/>
    <w:rsid w:val="273F166F"/>
    <w:rsid w:val="28814A83"/>
    <w:rsid w:val="2A3F5DE5"/>
    <w:rsid w:val="2C055B7D"/>
    <w:rsid w:val="2C41055E"/>
    <w:rsid w:val="2ECB6A58"/>
    <w:rsid w:val="30AA3DBF"/>
    <w:rsid w:val="31654955"/>
    <w:rsid w:val="320131B1"/>
    <w:rsid w:val="32926E68"/>
    <w:rsid w:val="32F80037"/>
    <w:rsid w:val="33767714"/>
    <w:rsid w:val="34F46E03"/>
    <w:rsid w:val="3BE0318F"/>
    <w:rsid w:val="3E272E3D"/>
    <w:rsid w:val="423F1536"/>
    <w:rsid w:val="42C36078"/>
    <w:rsid w:val="432B2022"/>
    <w:rsid w:val="452B7DF8"/>
    <w:rsid w:val="483D231C"/>
    <w:rsid w:val="48E039F5"/>
    <w:rsid w:val="4ADA20A4"/>
    <w:rsid w:val="4C421709"/>
    <w:rsid w:val="4C547C35"/>
    <w:rsid w:val="4E4C1D55"/>
    <w:rsid w:val="50D36BD8"/>
    <w:rsid w:val="51347DF6"/>
    <w:rsid w:val="52A91800"/>
    <w:rsid w:val="5770215E"/>
    <w:rsid w:val="57F54B02"/>
    <w:rsid w:val="5A261E45"/>
    <w:rsid w:val="5B8464BB"/>
    <w:rsid w:val="62DD2ADE"/>
    <w:rsid w:val="667A721B"/>
    <w:rsid w:val="69E6750E"/>
    <w:rsid w:val="6CFD50D2"/>
    <w:rsid w:val="6F887A72"/>
    <w:rsid w:val="747378DE"/>
    <w:rsid w:val="758C4073"/>
    <w:rsid w:val="78286A11"/>
    <w:rsid w:val="79B325B0"/>
    <w:rsid w:val="7B063660"/>
    <w:rsid w:val="7B120D87"/>
    <w:rsid w:val="7E164883"/>
    <w:rsid w:val="7F8C0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140" w:beforeLines="0" w:after="140" w:afterLines="0" w:line="413" w:lineRule="auto"/>
      <w:ind w:left="300" w:leftChars="300"/>
      <w:jc w:val="left"/>
      <w:outlineLvl w:val="1"/>
    </w:pPr>
    <w:rPr>
      <w:rFonts w:ascii="Arial" w:hAnsi="Arial" w:eastAsia="楷体"/>
      <w:b/>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1051</Words>
  <Characters>1125</Characters>
  <Lines>0</Lines>
  <Paragraphs>0</Paragraphs>
  <TotalTime>4</TotalTime>
  <ScaleCrop>false</ScaleCrop>
  <LinksUpToDate>false</LinksUpToDate>
  <CharactersWithSpaces>1203</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2022-12-04T13:44:00Z</dcterms:created>
  <dc:creator>HP</dc:creator>
  <cp:lastModifiedBy>凤</cp:lastModifiedBy>
  <dcterms:modified xsi:type="dcterms:W3CDTF">2024-12-16T01:15:40Z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8103FDE2360B44E0A45EE77979998EC4_13</vt:lpwstr>
  </property>
</Properties>
</file>