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提质培优计划——“课堂内外 双轮驱动”宪法课堂革命</w:t>
      </w:r>
    </w:p>
    <w:p>
      <w:pPr>
        <w:jc w:val="center"/>
        <w:rPr>
          <w:rFonts w:hint="eastAsia"/>
          <w:b/>
          <w:bCs/>
          <w:sz w:val="32"/>
          <w:szCs w:val="32"/>
          <w:lang w:val="en-US" w:eastAsia="zh-CN"/>
        </w:rPr>
      </w:pPr>
      <w:r>
        <w:rPr>
          <w:rFonts w:hint="eastAsia"/>
          <w:b/>
          <w:bCs/>
          <w:sz w:val="32"/>
          <w:szCs w:val="32"/>
          <w:lang w:val="en-US" w:eastAsia="zh-CN"/>
        </w:rPr>
        <w:t>项目实施报告</w:t>
      </w:r>
    </w:p>
    <w:p>
      <w:pPr>
        <w:jc w:val="center"/>
        <w:rPr>
          <w:rFonts w:hint="eastAsia" w:ascii="仿宋" w:hAnsi="仿宋" w:eastAsia="仿宋" w:cs="仿宋"/>
          <w:b w:val="0"/>
          <w:bCs w:val="0"/>
          <w:sz w:val="28"/>
          <w:szCs w:val="36"/>
          <w:lang w:val="en-US" w:eastAsia="zh-CN"/>
        </w:rPr>
      </w:pPr>
      <w:r>
        <w:rPr>
          <w:rFonts w:hint="eastAsia"/>
          <w:b/>
          <w:bCs/>
          <w:sz w:val="24"/>
          <w:szCs w:val="32"/>
          <w:lang w:val="en-US" w:eastAsia="zh-CN"/>
        </w:rPr>
        <w:t>法学系 郝培轩</w:t>
      </w:r>
    </w:p>
    <w:p>
      <w:pPr>
        <w:keepNext w:val="0"/>
        <w:keepLines w:val="0"/>
        <w:pageBreakBefore w:val="0"/>
        <w:numPr>
          <w:ilvl w:val="0"/>
          <w:numId w:val="1"/>
        </w:numPr>
        <w:kinsoku/>
        <w:wordWrap/>
        <w:overflowPunct/>
        <w:topLinePunct w:val="0"/>
        <w:autoSpaceDE/>
        <w:autoSpaceDN/>
        <w:bidi w:val="0"/>
        <w:adjustRightInd/>
        <w:snapToGrid/>
        <w:spacing w:after="157" w:afterLines="50" w:line="440" w:lineRule="exact"/>
        <w:ind w:firstLine="562" w:firstLineChars="200"/>
        <w:jc w:val="left"/>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项目概况</w:t>
      </w:r>
    </w:p>
    <w:p>
      <w:pPr>
        <w:keepNext w:val="0"/>
        <w:keepLines w:val="0"/>
        <w:pageBreakBefore w:val="0"/>
        <w:widowControl/>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为贯彻落实《国家职业教育改革实施方案》《职业教育提质培优行动计划（2020-2023年）》《普通高等学校宪法学教学重点指南》《河北省教育厅</w:t>
      </w:r>
      <w:r>
        <w:rPr>
          <w:rFonts w:hint="default" w:ascii="仿宋" w:hAnsi="仿宋" w:eastAsia="仿宋" w:cs="仿宋"/>
          <w:b w:val="0"/>
          <w:bCs w:val="0"/>
          <w:sz w:val="24"/>
          <w:szCs w:val="32"/>
          <w:lang w:val="en-US" w:eastAsia="zh-CN"/>
        </w:rPr>
        <w:t>关于承接</w:t>
      </w:r>
      <w:r>
        <w:rPr>
          <w:rFonts w:hint="eastAsia" w:ascii="仿宋" w:hAnsi="仿宋" w:eastAsia="仿宋" w:cs="仿宋"/>
          <w:b w:val="0"/>
          <w:bCs w:val="0"/>
          <w:sz w:val="24"/>
          <w:szCs w:val="32"/>
          <w:lang w:val="en-US" w:eastAsia="zh-CN"/>
        </w:rPr>
        <w:t>&lt;</w:t>
      </w:r>
      <w:r>
        <w:rPr>
          <w:rFonts w:hint="default" w:ascii="仿宋" w:hAnsi="仿宋" w:eastAsia="仿宋" w:cs="仿宋"/>
          <w:b w:val="0"/>
          <w:bCs w:val="0"/>
          <w:sz w:val="24"/>
          <w:szCs w:val="32"/>
          <w:lang w:val="en-US" w:eastAsia="zh-CN"/>
        </w:rPr>
        <w:t>职业教育提质培优行动</w:t>
      </w:r>
      <w:r>
        <w:rPr>
          <w:rFonts w:hint="eastAsia" w:ascii="仿宋" w:hAnsi="仿宋" w:eastAsia="仿宋" w:cs="仿宋"/>
          <w:b w:val="0"/>
          <w:bCs w:val="0"/>
          <w:sz w:val="24"/>
          <w:szCs w:val="32"/>
          <w:lang w:val="en-US" w:eastAsia="zh-CN"/>
        </w:rPr>
        <w:t>计划</w:t>
      </w:r>
      <w:r>
        <w:rPr>
          <w:rFonts w:hint="default" w:ascii="仿宋" w:hAnsi="仿宋" w:eastAsia="仿宋" w:cs="仿宋"/>
          <w:b w:val="0"/>
          <w:bCs w:val="0"/>
          <w:sz w:val="24"/>
          <w:szCs w:val="32"/>
          <w:lang w:val="en-US" w:eastAsia="zh-CN"/>
        </w:rPr>
        <w:t>（2020-2023年）</w:t>
      </w:r>
      <w:r>
        <w:rPr>
          <w:rFonts w:hint="eastAsia" w:ascii="仿宋" w:hAnsi="仿宋" w:eastAsia="仿宋" w:cs="仿宋"/>
          <w:b w:val="0"/>
          <w:bCs w:val="0"/>
          <w:sz w:val="24"/>
          <w:szCs w:val="32"/>
          <w:lang w:val="en-US" w:eastAsia="zh-CN"/>
        </w:rPr>
        <w:t>&gt;</w:t>
      </w:r>
      <w:r>
        <w:rPr>
          <w:rFonts w:hint="default" w:ascii="仿宋" w:hAnsi="仿宋" w:eastAsia="仿宋" w:cs="仿宋"/>
          <w:b w:val="0"/>
          <w:bCs w:val="0"/>
          <w:sz w:val="24"/>
          <w:szCs w:val="32"/>
          <w:lang w:val="en-US" w:eastAsia="zh-CN"/>
        </w:rPr>
        <w:t>任务（项目）的通知</w:t>
      </w:r>
      <w:r>
        <w:rPr>
          <w:rFonts w:hint="eastAsia" w:ascii="仿宋" w:hAnsi="仿宋" w:eastAsia="仿宋" w:cs="仿宋"/>
          <w:b w:val="0"/>
          <w:bCs w:val="0"/>
          <w:sz w:val="24"/>
          <w:szCs w:val="32"/>
          <w:lang w:val="en-US" w:eastAsia="zh-CN"/>
        </w:rPr>
        <w:t>》，更好实现职业教育育人任务，为法治河北建设培养高素质人才，针对三年制高等职业专科法律专业（专接本方向）、法律事务（公务员方向）、知识产权管理、民事执行专业学生开设的专业必修课程《宪法》实施了以“课堂内外 双轮驱动”为主题的课堂革命项目。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440" w:lineRule="exact"/>
        <w:ind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项目受众情况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该项目受众对象为法律专业（专接本方向）、法律事务（公务员方向）、知识产权管理、民事执行专业大一年级学生，其处于刚进专业教育和职业教育阶段，对法律专业和法律职业了解较少，基础较为薄弱，需要构建起专业理论学习和社会实践的有效沟通途径，对法律专业形成初步认识，培养法律职业思维和职业素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440" w:lineRule="exact"/>
        <w:ind w:left="0"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项目实施目标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为深入推进习近平法治思想进教材、进课堂、进头脑，培养信念坚定、德法兼修、明法笃行的高素质法治人才，结合职业教育的特点，突出培养职业型、应用型法律人才，通过课堂革命项目，实现以下目标：一是促进学生深刻理解我国宪法文本，理解宪法规范的基本含义、基本精神、规范内涵和实践意义；二是培养学生熟悉宪法基础理论，明白其指导思想、理论基础及其中的历史逻辑、理论逻辑和实践逻辑；三是通过实践教学促使学生深刻认识和理解我国国情、社情，把握宪法现象互相间关系，把握宪法发展变化的内在规律，培养学生宪法精神、树立宪法权威，增强宪法自信，使学生深刻理解我国社会主义法治建设，坚定制度自信，坚定社会主义发展道路。</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440" w:lineRule="exact"/>
        <w:ind w:left="0"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项目实施基础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目前宪法课程体系已经基本完善，相关教学资源已经初备。宪法理论教育与实践教学的基础相结合，以宪法宣讲活动促进宪法理论学习，以宪法课堂教学带动宪法宣传实践的二元互动教学模式开展的教学基础已经具备。该项目目前已初步推行，各项任务按项目规划正在有序推进落实。</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440" w:lineRule="exact"/>
        <w:ind w:left="0"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项目实施特点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default"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该项目的突出特点是打破传统宪法的理论教学模式，将宪法理论教学与实践教学相融合，培养学生关注国情社情的意识，在实践中促进理论知识的学习，在理论学习中融贯社会实践活动，形成理论学习和实践教学的二元融合。</w:t>
      </w:r>
    </w:p>
    <w:p>
      <w:pPr>
        <w:keepNext w:val="0"/>
        <w:keepLines w:val="0"/>
        <w:pageBreakBefore w:val="0"/>
        <w:numPr>
          <w:ilvl w:val="0"/>
          <w:numId w:val="1"/>
        </w:numPr>
        <w:kinsoku/>
        <w:wordWrap/>
        <w:overflowPunct/>
        <w:topLinePunct w:val="0"/>
        <w:autoSpaceDE/>
        <w:autoSpaceDN/>
        <w:bidi w:val="0"/>
        <w:adjustRightInd/>
        <w:snapToGrid/>
        <w:spacing w:after="157" w:afterLines="50" w:line="440" w:lineRule="exact"/>
        <w:ind w:firstLine="562" w:firstLineChars="200"/>
        <w:jc w:val="left"/>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项目进展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该项目是将宪法课程教学与国家公民教育相融通，通过校内外多种宪法宣传活动，将宪法课堂与宪法宣传相结合。通过宪法理论学习促进宪法宣传实践活动开展，通过宪法宣传实践加强宪法理论学习，形成宪法课程理论实践二元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（一）项目进展进度表</w:t>
      </w:r>
    </w:p>
    <w:tbl>
      <w:tblPr>
        <w:tblStyle w:val="4"/>
        <w:tblW w:w="4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073"/>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9" w:type="pct"/>
            <w:tcBorders>
              <w:top w:val="single" w:color="4F81BD" w:sz="8" w:space="0"/>
              <w:left w:val="single" w:color="4F81BD" w:sz="8" w:space="0"/>
              <w:bottom w:val="single" w:color="4F81BD" w:sz="8" w:space="0"/>
              <w:right w:val="dotted" w:color="auto" w:sz="8" w:space="0"/>
            </w:tcBorders>
            <w:shd w:val="clear" w:color="auto" w:fill="4F81BD"/>
            <w:vAlign w:val="center"/>
          </w:tcPr>
          <w:p>
            <w:pPr>
              <w:widowControl/>
              <w:adjustRightInd w:val="0"/>
              <w:snapToGrid w:val="0"/>
              <w:spacing w:line="240" w:lineRule="exact"/>
              <w:jc w:val="center"/>
              <w:rPr>
                <w:rFonts w:ascii="仿宋" w:hAnsi="仿宋" w:eastAsia="仿宋" w:cs="Times New Roman"/>
                <w:color w:val="FFFFFF"/>
                <w:kern w:val="0"/>
                <w:sz w:val="24"/>
                <w:szCs w:val="24"/>
                <w:highlight w:val="none"/>
              </w:rPr>
            </w:pPr>
            <w:r>
              <w:rPr>
                <w:rFonts w:hint="eastAsia" w:ascii="仿宋" w:hAnsi="仿宋" w:eastAsia="仿宋" w:cs="Times New Roman"/>
                <w:color w:val="FFFFFF"/>
                <w:kern w:val="0"/>
                <w:sz w:val="24"/>
                <w:szCs w:val="24"/>
                <w:highlight w:val="none"/>
              </w:rPr>
              <w:t>建设</w:t>
            </w:r>
            <w:r>
              <w:rPr>
                <w:rFonts w:ascii="仿宋" w:hAnsi="仿宋" w:eastAsia="仿宋" w:cs="Times New Roman"/>
                <w:color w:val="FFFFFF"/>
                <w:kern w:val="0"/>
                <w:sz w:val="24"/>
                <w:szCs w:val="24"/>
                <w:highlight w:val="none"/>
              </w:rPr>
              <w:t>内容</w:t>
            </w:r>
          </w:p>
        </w:tc>
        <w:tc>
          <w:tcPr>
            <w:tcW w:w="1373" w:type="pct"/>
            <w:tcBorders>
              <w:top w:val="single" w:color="4F81BD" w:sz="8" w:space="0"/>
              <w:left w:val="dotted" w:color="auto" w:sz="8" w:space="0"/>
              <w:bottom w:val="single" w:color="4F81BD" w:sz="8" w:space="0"/>
              <w:right w:val="dotted" w:color="auto" w:sz="8" w:space="0"/>
            </w:tcBorders>
            <w:shd w:val="clear" w:color="auto" w:fill="4F81BD"/>
            <w:vAlign w:val="center"/>
          </w:tcPr>
          <w:p>
            <w:pPr>
              <w:widowControl/>
              <w:adjustRightInd w:val="0"/>
              <w:snapToGrid w:val="0"/>
              <w:spacing w:line="240" w:lineRule="exact"/>
              <w:jc w:val="center"/>
              <w:rPr>
                <w:rFonts w:ascii="仿宋" w:hAnsi="仿宋" w:eastAsia="仿宋" w:cs="Times New Roman"/>
                <w:color w:val="FFFFFF"/>
                <w:kern w:val="0"/>
                <w:sz w:val="24"/>
                <w:szCs w:val="24"/>
                <w:highlight w:val="none"/>
              </w:rPr>
            </w:pPr>
            <w:r>
              <w:rPr>
                <w:rFonts w:ascii="仿宋" w:hAnsi="仿宋" w:eastAsia="仿宋" w:cs="Times New Roman"/>
                <w:color w:val="FFFFFF"/>
                <w:kern w:val="0"/>
                <w:sz w:val="24"/>
                <w:szCs w:val="24"/>
                <w:highlight w:val="none"/>
              </w:rPr>
              <w:t>2021</w:t>
            </w:r>
            <w:r>
              <w:rPr>
                <w:rFonts w:hint="eastAsia" w:ascii="仿宋" w:hAnsi="仿宋" w:eastAsia="仿宋" w:cs="Times New Roman"/>
                <w:color w:val="FFFFFF"/>
                <w:kern w:val="0"/>
                <w:sz w:val="24"/>
                <w:szCs w:val="24"/>
                <w:highlight w:val="none"/>
              </w:rPr>
              <w:t>年</w:t>
            </w:r>
            <w:r>
              <w:rPr>
                <w:rFonts w:ascii="仿宋" w:hAnsi="仿宋" w:eastAsia="仿宋" w:cs="Times New Roman"/>
                <w:color w:val="FFFFFF"/>
                <w:kern w:val="0"/>
                <w:sz w:val="24"/>
                <w:szCs w:val="24"/>
                <w:highlight w:val="none"/>
              </w:rPr>
              <w:t>12</w:t>
            </w:r>
            <w:r>
              <w:rPr>
                <w:rFonts w:hint="eastAsia" w:ascii="仿宋" w:hAnsi="仿宋" w:eastAsia="仿宋" w:cs="Times New Roman"/>
                <w:color w:val="FFFFFF"/>
                <w:kern w:val="0"/>
                <w:sz w:val="24"/>
                <w:szCs w:val="24"/>
                <w:highlight w:val="none"/>
              </w:rPr>
              <w:t>月</w:t>
            </w:r>
          </w:p>
        </w:tc>
        <w:tc>
          <w:tcPr>
            <w:tcW w:w="1373" w:type="pct"/>
            <w:tcBorders>
              <w:top w:val="single" w:color="4F81BD" w:sz="8" w:space="0"/>
              <w:left w:val="dotted" w:color="auto" w:sz="8" w:space="0"/>
              <w:bottom w:val="single" w:color="4F81BD" w:sz="8" w:space="0"/>
              <w:right w:val="dotted" w:color="auto" w:sz="8" w:space="0"/>
            </w:tcBorders>
            <w:shd w:val="clear" w:color="auto" w:fill="4F81BD"/>
            <w:vAlign w:val="center"/>
          </w:tcPr>
          <w:p>
            <w:pPr>
              <w:widowControl/>
              <w:adjustRightInd w:val="0"/>
              <w:snapToGrid w:val="0"/>
              <w:spacing w:line="240" w:lineRule="exact"/>
              <w:jc w:val="center"/>
              <w:rPr>
                <w:rFonts w:ascii="仿宋" w:hAnsi="仿宋" w:eastAsia="仿宋" w:cs="Times New Roman"/>
                <w:color w:val="FFFFFF"/>
                <w:kern w:val="0"/>
                <w:sz w:val="24"/>
                <w:szCs w:val="24"/>
                <w:highlight w:val="none"/>
              </w:rPr>
            </w:pPr>
            <w:r>
              <w:rPr>
                <w:rFonts w:ascii="仿宋" w:hAnsi="仿宋" w:eastAsia="仿宋" w:cs="Times New Roman"/>
                <w:color w:val="FFFFFF"/>
                <w:kern w:val="0"/>
                <w:sz w:val="24"/>
                <w:szCs w:val="24"/>
                <w:highlight w:val="none"/>
              </w:rPr>
              <w:t>20</w:t>
            </w:r>
            <w:r>
              <w:rPr>
                <w:rFonts w:hint="eastAsia" w:ascii="仿宋" w:hAnsi="仿宋" w:eastAsia="仿宋" w:cs="Times New Roman"/>
                <w:color w:val="FFFFFF"/>
                <w:kern w:val="0"/>
                <w:sz w:val="24"/>
                <w:szCs w:val="24"/>
                <w:highlight w:val="none"/>
              </w:rPr>
              <w:t>22年</w:t>
            </w:r>
            <w:r>
              <w:rPr>
                <w:rFonts w:ascii="仿宋" w:hAnsi="仿宋" w:eastAsia="仿宋" w:cs="Times New Roman"/>
                <w:color w:val="FFFFFF"/>
                <w:kern w:val="0"/>
                <w:sz w:val="24"/>
                <w:szCs w:val="24"/>
                <w:highlight w:val="none"/>
              </w:rPr>
              <w:t>12</w:t>
            </w:r>
            <w:r>
              <w:rPr>
                <w:rFonts w:hint="eastAsia" w:ascii="仿宋" w:hAnsi="仿宋" w:eastAsia="仿宋" w:cs="Times New Roman"/>
                <w:color w:val="FFFFFF"/>
                <w:kern w:val="0"/>
                <w:sz w:val="24"/>
                <w:szCs w:val="24"/>
                <w:highlight w:val="none"/>
              </w:rPr>
              <w:t>月</w:t>
            </w:r>
          </w:p>
        </w:tc>
        <w:tc>
          <w:tcPr>
            <w:tcW w:w="1373" w:type="pct"/>
            <w:tcBorders>
              <w:top w:val="single" w:color="4F81BD" w:sz="8" w:space="0"/>
              <w:left w:val="dotted" w:color="auto" w:sz="8" w:space="0"/>
              <w:bottom w:val="single" w:color="4F81BD" w:sz="8" w:space="0"/>
              <w:right w:val="single" w:color="4F81BD" w:sz="8" w:space="0"/>
            </w:tcBorders>
            <w:shd w:val="clear" w:color="auto" w:fill="4F81BD"/>
            <w:vAlign w:val="center"/>
          </w:tcPr>
          <w:p>
            <w:pPr>
              <w:widowControl/>
              <w:adjustRightInd w:val="0"/>
              <w:snapToGrid w:val="0"/>
              <w:spacing w:line="240" w:lineRule="exact"/>
              <w:jc w:val="center"/>
              <w:rPr>
                <w:rFonts w:ascii="仿宋" w:hAnsi="仿宋" w:eastAsia="仿宋" w:cs="Times New Roman"/>
                <w:color w:val="FFFFFF"/>
                <w:kern w:val="0"/>
                <w:sz w:val="24"/>
                <w:szCs w:val="24"/>
                <w:highlight w:val="none"/>
              </w:rPr>
            </w:pPr>
            <w:r>
              <w:rPr>
                <w:rFonts w:ascii="仿宋" w:hAnsi="仿宋" w:eastAsia="仿宋" w:cs="Times New Roman"/>
                <w:color w:val="FFFFFF"/>
                <w:kern w:val="0"/>
                <w:sz w:val="24"/>
                <w:szCs w:val="24"/>
                <w:highlight w:val="none"/>
              </w:rPr>
              <w:t>20</w:t>
            </w:r>
            <w:r>
              <w:rPr>
                <w:rFonts w:hint="eastAsia" w:ascii="仿宋" w:hAnsi="仿宋" w:eastAsia="仿宋" w:cs="Times New Roman"/>
                <w:color w:val="FFFFFF"/>
                <w:kern w:val="0"/>
                <w:sz w:val="24"/>
                <w:szCs w:val="24"/>
                <w:highlight w:val="none"/>
              </w:rPr>
              <w:t>23年</w:t>
            </w:r>
            <w:r>
              <w:rPr>
                <w:rFonts w:ascii="仿宋" w:hAnsi="仿宋" w:eastAsia="仿宋" w:cs="Times New Roman"/>
                <w:color w:val="FFFFFF"/>
                <w:kern w:val="0"/>
                <w:sz w:val="24"/>
                <w:szCs w:val="24"/>
                <w:highlight w:val="none"/>
              </w:rPr>
              <w:t>12</w:t>
            </w:r>
            <w:r>
              <w:rPr>
                <w:rFonts w:hint="eastAsia" w:ascii="仿宋" w:hAnsi="仿宋" w:eastAsia="仿宋" w:cs="Times New Roman"/>
                <w:color w:val="FFFFFF"/>
                <w:kern w:val="0"/>
                <w:sz w:val="24"/>
                <w:szCs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879" w:type="pct"/>
            <w:tcBorders>
              <w:top w:val="single" w:color="4F81BD" w:sz="8" w:space="0"/>
              <w:left w:val="single" w:color="4F81BD" w:sz="8" w:space="0"/>
              <w:bottom w:val="single" w:color="4F81BD" w:sz="8" w:space="0"/>
              <w:right w:val="dotted" w:color="auto" w:sz="8" w:space="0"/>
            </w:tcBorders>
            <w:shd w:val="clear" w:color="auto" w:fill="E9EDF4"/>
            <w:vAlign w:val="center"/>
          </w:tcPr>
          <w:p>
            <w:pPr>
              <w:widowControl/>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宪法理论学习与实践二元互动式课堂革命。</w:t>
            </w:r>
          </w:p>
        </w:tc>
        <w:tc>
          <w:tcPr>
            <w:tcW w:w="1373" w:type="pct"/>
            <w:tcBorders>
              <w:top w:val="single" w:color="4F81BD" w:sz="8" w:space="0"/>
              <w:left w:val="dotted" w:color="auto" w:sz="8" w:space="0"/>
              <w:bottom w:val="single" w:color="4F81BD" w:sz="8" w:space="0"/>
              <w:right w:val="dotted" w:color="auto" w:sz="8" w:space="0"/>
            </w:tcBorders>
            <w:shd w:val="clear" w:color="auto" w:fill="E9EDF4"/>
            <w:vAlign w:val="center"/>
          </w:tcPr>
          <w:p>
            <w:pPr>
              <w:spacing w:before="156" w:beforeLines="5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预期效果：</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梳理出宪法课堂理论教学与宪法法治宣传活动的结合点。</w:t>
            </w:r>
          </w:p>
          <w:p>
            <w:pPr>
              <w:rPr>
                <w:rFonts w:hint="eastAsia" w:ascii="仿宋" w:hAnsi="仿宋" w:eastAsia="仿宋" w:cs="仿宋"/>
                <w:color w:val="000000"/>
                <w:sz w:val="24"/>
                <w:szCs w:val="24"/>
                <w:lang w:val="en-US" w:eastAsia="zh-CN"/>
              </w:rPr>
            </w:pPr>
          </w:p>
        </w:tc>
        <w:tc>
          <w:tcPr>
            <w:tcW w:w="1373" w:type="pct"/>
            <w:tcBorders>
              <w:top w:val="single" w:color="4F81BD" w:sz="8" w:space="0"/>
              <w:left w:val="dotted" w:color="auto" w:sz="8" w:space="0"/>
              <w:bottom w:val="single" w:color="4F81BD" w:sz="8" w:space="0"/>
              <w:right w:val="dotted" w:color="auto" w:sz="8" w:space="0"/>
            </w:tcBorders>
            <w:shd w:val="clear" w:color="auto" w:fill="E9EDF4"/>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预期效果：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学生可以在校内外开展宪法宣传活动。</w:t>
            </w:r>
          </w:p>
          <w:p>
            <w:pPr>
              <w:rPr>
                <w:rFonts w:hint="eastAsia" w:ascii="仿宋" w:hAnsi="仿宋" w:eastAsia="仿宋" w:cs="仿宋"/>
                <w:color w:val="000000"/>
                <w:sz w:val="24"/>
                <w:szCs w:val="24"/>
                <w:lang w:val="en-US" w:eastAsia="zh-CN"/>
              </w:rPr>
            </w:pPr>
          </w:p>
        </w:tc>
        <w:tc>
          <w:tcPr>
            <w:tcW w:w="1373" w:type="pct"/>
            <w:tcBorders>
              <w:top w:val="single" w:color="4F81BD" w:sz="8" w:space="0"/>
              <w:left w:val="dotted" w:color="auto" w:sz="8" w:space="0"/>
              <w:bottom w:val="single" w:color="4F81BD" w:sz="8" w:space="0"/>
              <w:right w:val="single" w:color="4F81BD" w:sz="8" w:space="0"/>
            </w:tcBorders>
            <w:shd w:val="clear" w:color="auto" w:fill="E9EDF4"/>
            <w:vAlign w:val="center"/>
          </w:tcPr>
          <w:p>
            <w:pPr>
              <w:spacing w:before="156" w:beforeLines="5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预期效果：</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形成宪法理论学习与宪法实践活动的二元互动。以学习促宣传，以宣传推学习。</w:t>
            </w:r>
          </w:p>
          <w:p>
            <w:pPr>
              <w:rPr>
                <w:rFonts w:hint="eastAsia" w:ascii="仿宋" w:hAnsi="仿宋" w:eastAsia="仿宋" w:cs="仿宋"/>
                <w:color w:val="000000"/>
                <w:sz w:val="24"/>
                <w:szCs w:val="24"/>
                <w:lang w:val="en-US"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（二）项目进展现状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440" w:lineRule="exact"/>
        <w:ind w:firstLine="480" w:firstLineChars="200"/>
        <w:jc w:val="left"/>
        <w:textAlignment w:val="auto"/>
        <w:rPr>
          <w:rFonts w:hint="default"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目前宪法课堂革命第一轮授课任务已经基本完成，在授课中基本梳理出宪法理论教学的要点和难点，宪法理论与宪法法治宣传活动的结合点，初步形成理论教学与实践教学的理论体系框架。受制于疫情影响，学生在校内外进行的宪法法治宣传活动的规模和次数有所限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40" w:lineRule="exact"/>
        <w:ind w:firstLine="562" w:firstLineChars="200"/>
        <w:jc w:val="left"/>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项目成果</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40" w:lineRule="exact"/>
        <w:ind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项目预期成果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Chars="0"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形成完善的宪法理论教学与实践教学二元互动教学模式。</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40" w:lineRule="exact"/>
        <w:ind w:left="0"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项目现阶段成果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Chars="0"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根据教育部办公厅印发的《普通高等学校宪法学教学重点指南》（教高厅函【2021】33号）相关内容，宪法教学共涉及6大模块，34个知识点的知识体系，结合教学实际工作，初步形成了理论教学与实践教学的连接谱系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382"/>
        <w:gridCol w:w="350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4F81BD"/>
            <w:vAlign w:val="center"/>
          </w:tcPr>
          <w:p>
            <w:pPr>
              <w:autoSpaceDE w:val="0"/>
              <w:autoSpaceDN w:val="0"/>
              <w:adjustRightInd w:val="0"/>
              <w:spacing w:line="360" w:lineRule="auto"/>
              <w:jc w:val="center"/>
              <w:rPr>
                <w:rFonts w:hint="eastAsia" w:ascii="宋体" w:hAnsi="宋体" w:eastAsia="宋体" w:cs="宋体"/>
                <w:b w:val="0"/>
                <w:bCs w:val="0"/>
                <w:color w:val="FFFFFF"/>
                <w:sz w:val="24"/>
                <w:vertAlign w:val="baseline"/>
                <w:lang w:val="en-US" w:eastAsia="zh-CN"/>
              </w:rPr>
            </w:pPr>
            <w:r>
              <w:rPr>
                <w:rFonts w:hint="eastAsia" w:ascii="宋体" w:hAnsi="宋体" w:cs="宋体"/>
                <w:b w:val="0"/>
                <w:bCs w:val="0"/>
                <w:color w:val="FFFFFF"/>
                <w:sz w:val="24"/>
                <w:vertAlign w:val="baseline"/>
                <w:lang w:val="en-US" w:eastAsia="zh-CN"/>
              </w:rPr>
              <w:t>序号</w:t>
            </w:r>
          </w:p>
        </w:tc>
        <w:tc>
          <w:tcPr>
            <w:tcW w:w="1382" w:type="dxa"/>
            <w:tcBorders>
              <w:top w:val="single" w:color="4F81BD" w:sz="8" w:space="0"/>
              <w:left w:val="dotted" w:color="auto" w:sz="4" w:space="0"/>
              <w:bottom w:val="single" w:color="4F81BD" w:sz="8" w:space="0"/>
              <w:right w:val="dotted" w:color="auto" w:sz="4" w:space="0"/>
            </w:tcBorders>
            <w:shd w:val="clear" w:color="auto" w:fill="4F81BD"/>
            <w:vAlign w:val="center"/>
          </w:tcPr>
          <w:p>
            <w:pPr>
              <w:autoSpaceDE w:val="0"/>
              <w:autoSpaceDN w:val="0"/>
              <w:adjustRightInd w:val="0"/>
              <w:spacing w:line="360" w:lineRule="auto"/>
              <w:jc w:val="center"/>
              <w:rPr>
                <w:rFonts w:hint="default" w:ascii="宋体" w:hAnsi="宋体" w:eastAsia="宋体" w:cs="宋体"/>
                <w:b w:val="0"/>
                <w:bCs w:val="0"/>
                <w:color w:val="FFFFFF"/>
                <w:sz w:val="24"/>
                <w:vertAlign w:val="baseline"/>
                <w:lang w:val="en-US" w:eastAsia="zh-CN"/>
              </w:rPr>
            </w:pPr>
            <w:r>
              <w:rPr>
                <w:rFonts w:hint="eastAsia" w:ascii="宋体" w:hAnsi="宋体" w:cs="宋体"/>
                <w:b w:val="0"/>
                <w:bCs w:val="0"/>
                <w:color w:val="FFFFFF"/>
                <w:sz w:val="24"/>
                <w:vertAlign w:val="baseline"/>
                <w:lang w:val="en-US" w:eastAsia="zh-CN"/>
              </w:rPr>
              <w:t>模块</w:t>
            </w:r>
          </w:p>
        </w:tc>
        <w:tc>
          <w:tcPr>
            <w:tcW w:w="3500" w:type="dxa"/>
            <w:tcBorders>
              <w:top w:val="single" w:color="4F81BD" w:sz="8" w:space="0"/>
              <w:left w:val="dotted" w:color="auto" w:sz="4" w:space="0"/>
              <w:bottom w:val="single" w:color="4F81BD" w:sz="8" w:space="0"/>
              <w:right w:val="dotted" w:color="auto" w:sz="4" w:space="0"/>
            </w:tcBorders>
            <w:shd w:val="clear" w:color="auto" w:fill="4F81BD"/>
            <w:vAlign w:val="center"/>
          </w:tcPr>
          <w:p>
            <w:pPr>
              <w:autoSpaceDE w:val="0"/>
              <w:autoSpaceDN w:val="0"/>
              <w:adjustRightInd w:val="0"/>
              <w:spacing w:line="360" w:lineRule="auto"/>
              <w:jc w:val="center"/>
              <w:rPr>
                <w:rFonts w:hint="default" w:ascii="宋体" w:hAnsi="宋体" w:eastAsia="宋体" w:cs="宋体"/>
                <w:b w:val="0"/>
                <w:bCs w:val="0"/>
                <w:color w:val="FFFFFF"/>
                <w:sz w:val="24"/>
                <w:vertAlign w:val="baseline"/>
                <w:lang w:val="en-US" w:eastAsia="zh-CN"/>
              </w:rPr>
            </w:pPr>
            <w:r>
              <w:rPr>
                <w:rFonts w:hint="eastAsia" w:ascii="宋体" w:hAnsi="宋体" w:cs="宋体"/>
                <w:b w:val="0"/>
                <w:bCs w:val="0"/>
                <w:color w:val="FFFFFF"/>
                <w:sz w:val="24"/>
                <w:vertAlign w:val="baseline"/>
                <w:lang w:val="en-US" w:eastAsia="zh-CN"/>
              </w:rPr>
              <w:t>理论教学内容</w:t>
            </w:r>
          </w:p>
        </w:tc>
        <w:tc>
          <w:tcPr>
            <w:tcW w:w="2773" w:type="dxa"/>
            <w:tcBorders>
              <w:top w:val="single" w:color="4F81BD" w:sz="8" w:space="0"/>
              <w:left w:val="dotted" w:color="auto" w:sz="4" w:space="0"/>
              <w:bottom w:val="single" w:color="4F81BD" w:sz="8" w:space="0"/>
              <w:right w:val="single" w:color="4F81BD" w:sz="8" w:space="0"/>
            </w:tcBorders>
            <w:shd w:val="clear" w:color="auto" w:fill="4F81BD"/>
            <w:vAlign w:val="center"/>
          </w:tcPr>
          <w:p>
            <w:pPr>
              <w:autoSpaceDE w:val="0"/>
              <w:autoSpaceDN w:val="0"/>
              <w:adjustRightInd w:val="0"/>
              <w:spacing w:line="360" w:lineRule="auto"/>
              <w:jc w:val="center"/>
              <w:rPr>
                <w:rFonts w:hint="default" w:ascii="宋体" w:hAnsi="宋体" w:eastAsia="宋体" w:cs="宋体"/>
                <w:b w:val="0"/>
                <w:bCs w:val="0"/>
                <w:color w:val="FFFFFF"/>
                <w:sz w:val="24"/>
                <w:vertAlign w:val="baseline"/>
                <w:lang w:val="en-US" w:eastAsia="zh-CN"/>
              </w:rPr>
            </w:pPr>
            <w:r>
              <w:rPr>
                <w:rFonts w:hint="eastAsia" w:ascii="宋体" w:hAnsi="宋体" w:cs="宋体"/>
                <w:b w:val="0"/>
                <w:bCs w:val="0"/>
                <w:color w:val="FFFFFF"/>
                <w:sz w:val="24"/>
                <w:vertAlign w:val="baseline"/>
                <w:lang w:val="en-US" w:eastAsia="zh-CN"/>
              </w:rPr>
              <w:t>实践教学内容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382" w:type="dxa"/>
            <w:vMerge w:val="restart"/>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基础理论</w:t>
            </w: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宪法的概念</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宪法的历史与发展</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微软雅黑"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在法治宣传活动中围绕现行宪法及其历次修改，充分阐述“宪法与国家前途、人民命运息息相关”的历史逻辑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宪法的根本性、最高性、政治性和规范性</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宪法确立的国家指导思想</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宪法、国家制度与国家治理体系</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在法治宣传活动中阐释宪法与国家治理体系之间的关系，依宪治国、依宪执政在现实中的落实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6</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宪法序言的结构、内容和效力</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7</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国家根本任务与基本国策</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在法治宣传活动中结合国情社情宣讲我国的根本任务和基本国策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8</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宪法基本原则</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9</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宪法的制定与修改</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10</w:t>
            </w:r>
          </w:p>
        </w:tc>
        <w:tc>
          <w:tcPr>
            <w:tcW w:w="138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国家制度</w:t>
            </w: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社会主义制度</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在法治宣传活动中宣讲中国特色社会主义的规范内涵，社会主义核心价值观的价值内涵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11</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人民代表大会制度</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中国共产党领导的多党合作和政治协商制度</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13</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选举制度</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课堂教学中模拟人大代表选举，使学生充分了解人大代表选举制度的优越性和具体程序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14</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中央和地方关系</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在普法活动中作为公民教育的基本内容对我国基本国情、地方行政区划、单一制国家结构形式等内容进行宣讲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15</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民族区域自治制度</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宣讲中华民族“多元一体”的民族理论体系，民族区域自治制度与国家统一和民族团结之间的重要关系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16</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基层群众自治制度</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社区普法时可涉及乡村自治、法治与德治、新时代“枫桥经验”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17</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一国两制与特别行政区制度</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18</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国家象征与国家标志</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学校和社区普法时可通过近年来典型案例普及《国旗法》《国歌法》《国徽法》等内容，预防类似违法犯罪行为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19</w:t>
            </w:r>
          </w:p>
        </w:tc>
        <w:tc>
          <w:tcPr>
            <w:tcW w:w="1382" w:type="dxa"/>
            <w:vMerge w:val="restart"/>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基本权利</w:t>
            </w: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基本权利一般理论</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20</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国家尊重和保障人权</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结合近年来疫情防治、抗洪抢险等实例，阐释习近平关于人权的重要论述，阐明“人民至上”和“生命至上”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21</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基本权利的体系与分类</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22</w:t>
            </w:r>
          </w:p>
        </w:tc>
        <w:tc>
          <w:tcPr>
            <w:tcW w:w="1382"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基本义务</w:t>
            </w: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基本义务</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社区普法是可阐明公民基本义务的宪法法理，结合典型案例预防相关违法犯罪行为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23</w:t>
            </w:r>
          </w:p>
        </w:tc>
        <w:tc>
          <w:tcPr>
            <w:tcW w:w="1382" w:type="dxa"/>
            <w:vMerge w:val="restart"/>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国家机构基本原理</w:t>
            </w: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国家机构</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作为公民素质教育的基本内容，了解我国基本的国家机构构成、关系和职权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24</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全国人大和全国人大常委会</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25</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国家主席</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26</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国务院</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27</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auto" w:sz="4"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中央军事委员会</w:t>
            </w:r>
          </w:p>
        </w:tc>
        <w:tc>
          <w:tcPr>
            <w:tcW w:w="2773" w:type="dxa"/>
            <w:tcBorders>
              <w:top w:val="single" w:color="4F81BD" w:sz="8" w:space="0"/>
              <w:left w:val="dotted" w:color="auto" w:sz="4" w:space="0"/>
              <w:bottom w:val="single" w:color="auto" w:sz="4"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28</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auto" w:sz="4"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监察委员会</w:t>
            </w:r>
          </w:p>
        </w:tc>
        <w:tc>
          <w:tcPr>
            <w:tcW w:w="2773" w:type="dxa"/>
            <w:tcBorders>
              <w:top w:val="single" w:color="auto" w:sz="4"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29</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人民法院和人民检察院</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30</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地方人大和地方政府</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31</w:t>
            </w:r>
          </w:p>
        </w:tc>
        <w:tc>
          <w:tcPr>
            <w:tcW w:w="1382" w:type="dxa"/>
            <w:vMerge w:val="restart"/>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宪法实施</w:t>
            </w: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宪法实施概论</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加强宪法宣传教育、增强宪法意识、树立宪法信仰、弘扬宪法精神，为加强宪法实施和监督营造良好氛围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32</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宪法监督</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33</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E9EDF4"/>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宪法解释</w:t>
            </w:r>
          </w:p>
        </w:tc>
        <w:tc>
          <w:tcPr>
            <w:tcW w:w="2773" w:type="dxa"/>
            <w:tcBorders>
              <w:top w:val="single" w:color="4F81BD" w:sz="8" w:space="0"/>
              <w:left w:val="dotted" w:color="auto" w:sz="4" w:space="0"/>
              <w:bottom w:val="single" w:color="4F81BD" w:sz="8" w:space="0"/>
              <w:right w:val="single" w:color="4F81BD" w:sz="8" w:space="0"/>
            </w:tcBorders>
            <w:shd w:val="clear" w:color="auto" w:fill="E9EDF4"/>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1" w:type="dxa"/>
            <w:tcBorders>
              <w:top w:val="single" w:color="4F81BD" w:sz="8" w:space="0"/>
              <w:left w:val="single" w:color="4F81BD" w:sz="8"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34</w:t>
            </w:r>
          </w:p>
        </w:tc>
        <w:tc>
          <w:tcPr>
            <w:tcW w:w="138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c>
          <w:tcPr>
            <w:tcW w:w="3500" w:type="dxa"/>
            <w:tcBorders>
              <w:top w:val="single" w:color="4F81BD" w:sz="8" w:space="0"/>
              <w:left w:val="dotted" w:color="auto" w:sz="4" w:space="0"/>
              <w:bottom w:val="single" w:color="4F81BD" w:sz="8" w:space="0"/>
              <w:right w:val="dotted"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合宪性审查</w:t>
            </w:r>
          </w:p>
        </w:tc>
        <w:tc>
          <w:tcPr>
            <w:tcW w:w="2773" w:type="dxa"/>
            <w:tcBorders>
              <w:top w:val="single" w:color="4F81BD" w:sz="8" w:space="0"/>
              <w:left w:val="dotted" w:color="auto" w:sz="4" w:space="0"/>
              <w:bottom w:val="single" w:color="4F81BD" w:sz="8" w:space="0"/>
              <w:right w:val="single" w:color="4F81BD" w:sz="8" w:space="0"/>
            </w:tcBorders>
            <w:shd w:val="clear" w:color="auto" w:fill="FFFFFF"/>
            <w:vAlign w:val="center"/>
            <mc:AlternateContent>
              <mc:Choice Requires="wpsCustomData">
                <wpsCustomData:diagonals>
                  <wpsCustomData:diagonal from="10000" to="30000">
                    <wpsCustomData:border w:val="single" w:color="4F81BD" w:sz="8" w:space="0"/>
                  </wpsCustomData:diagonal>
                </wpsCustomData:diagonals>
              </mc:Choice>
            </mc:AlternateContent>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color w:val="000000"/>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sz w:val="24"/>
                <w:szCs w:val="24"/>
                <w:vertAlign w:val="baseline"/>
                <w:lang w:val="en-US" w:eastAsia="zh-CN"/>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40" w:lineRule="exact"/>
        <w:ind w:left="0" w:leftChars="0" w:firstLine="482" w:firstLineChars="200"/>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进一步规划</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Chars="0"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目前该理论教学与实践教学的结合点仅初步形成，还未系统落实实践。计划在后续的教学活动中进一步深化和完善该谱系图，逐渐形成完善的理论教学与实践教学的二元体系。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Chars="0" w:firstLine="482" w:firstLineChars="200"/>
        <w:jc w:val="left"/>
        <w:textAlignment w:val="auto"/>
        <w:rPr>
          <w:rFonts w:hint="default"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（四）项目实施资料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default" w:ascii="仿宋" w:hAnsi="仿宋" w:eastAsia="仿宋" w:cs="仿宋"/>
          <w:b w:val="0"/>
          <w:bCs w:val="0"/>
          <w:sz w:val="22"/>
          <w:szCs w:val="28"/>
          <w:lang w:val="en-US" w:eastAsia="zh-CN"/>
        </w:rPr>
      </w:pPr>
      <w:bookmarkStart w:id="0" w:name="_GoBack"/>
      <w:bookmarkEnd w:id="0"/>
      <w:r>
        <w:rPr>
          <w:rFonts w:hint="default" w:ascii="仿宋" w:hAnsi="仿宋" w:eastAsia="仿宋" w:cs="仿宋"/>
          <w:b w:val="0"/>
          <w:bCs w:val="0"/>
          <w:sz w:val="22"/>
          <w:szCs w:val="28"/>
          <w:lang w:val="en-US" w:eastAsia="zh-CN"/>
        </w:rPr>
        <w:drawing>
          <wp:anchor distT="0" distB="0" distL="114300" distR="114300" simplePos="0" relativeHeight="251660288" behindDoc="0" locked="0" layoutInCell="1" allowOverlap="1">
            <wp:simplePos x="0" y="0"/>
            <wp:positionH relativeFrom="column">
              <wp:posOffset>2921635</wp:posOffset>
            </wp:positionH>
            <wp:positionV relativeFrom="paragraph">
              <wp:posOffset>381000</wp:posOffset>
            </wp:positionV>
            <wp:extent cx="2448560" cy="1837055"/>
            <wp:effectExtent l="0" t="0" r="2540" b="4445"/>
            <wp:wrapSquare wrapText="bothSides"/>
            <wp:docPr id="3" name="图片 3" descr="09a3763d5d7256bef35d5ca0cd4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a3763d5d7256bef35d5ca0cd44311"/>
                    <pic:cNvPicPr>
                      <a:picLocks noChangeAspect="1"/>
                    </pic:cNvPicPr>
                  </pic:nvPicPr>
                  <pic:blipFill>
                    <a:blip r:embed="rId6"/>
                    <a:stretch>
                      <a:fillRect/>
                    </a:stretch>
                  </pic:blipFill>
                  <pic:spPr>
                    <a:xfrm>
                      <a:off x="0" y="0"/>
                      <a:ext cx="2448560" cy="1837055"/>
                    </a:xfrm>
                    <a:prstGeom prst="rect">
                      <a:avLst/>
                    </a:prstGeom>
                  </pic:spPr>
                </pic:pic>
              </a:graphicData>
            </a:graphic>
          </wp:anchor>
        </w:drawing>
      </w:r>
      <w:r>
        <w:rPr>
          <w:rFonts w:hint="default" w:ascii="仿宋" w:hAnsi="仿宋" w:eastAsia="仿宋" w:cs="仿宋"/>
          <w:b w:val="0"/>
          <w:bCs w:val="0"/>
          <w:sz w:val="22"/>
          <w:szCs w:val="28"/>
          <w:lang w:val="en-US" w:eastAsia="zh-CN"/>
        </w:rPr>
        <w:drawing>
          <wp:anchor distT="0" distB="0" distL="114300" distR="114300" simplePos="0" relativeHeight="251659264" behindDoc="0" locked="0" layoutInCell="1" allowOverlap="1">
            <wp:simplePos x="0" y="0"/>
            <wp:positionH relativeFrom="column">
              <wp:posOffset>298450</wp:posOffset>
            </wp:positionH>
            <wp:positionV relativeFrom="paragraph">
              <wp:posOffset>393700</wp:posOffset>
            </wp:positionV>
            <wp:extent cx="2446655" cy="1835785"/>
            <wp:effectExtent l="0" t="0" r="4445" b="5715"/>
            <wp:wrapSquare wrapText="bothSides"/>
            <wp:docPr id="2" name="图片 2" descr="b0079255ccb7533d808b641e7883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079255ccb7533d808b641e7883ffa"/>
                    <pic:cNvPicPr>
                      <a:picLocks noChangeAspect="1"/>
                    </pic:cNvPicPr>
                  </pic:nvPicPr>
                  <pic:blipFill>
                    <a:blip r:embed="rId7"/>
                    <a:stretch>
                      <a:fillRect/>
                    </a:stretch>
                  </pic:blipFill>
                  <pic:spPr>
                    <a:xfrm>
                      <a:off x="0" y="0"/>
                      <a:ext cx="2446655" cy="1835785"/>
                    </a:xfrm>
                    <a:prstGeom prst="rect">
                      <a:avLst/>
                    </a:prstGeom>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val="en-US" w:eastAsia="zh-CN"/>
      </w:rPr>
      <w:t>提质培优计划——“课堂内外 双轮驱动”宪法课堂革命项目实施报告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7B9BB"/>
    <w:multiLevelType w:val="singleLevel"/>
    <w:tmpl w:val="AA37B9BB"/>
    <w:lvl w:ilvl="0" w:tentative="0">
      <w:start w:val="1"/>
      <w:numFmt w:val="chineseCounting"/>
      <w:suff w:val="nothing"/>
      <w:lvlText w:val="%1、"/>
      <w:lvlJc w:val="left"/>
      <w:rPr>
        <w:rFonts w:hint="eastAsia"/>
      </w:rPr>
    </w:lvl>
  </w:abstractNum>
  <w:abstractNum w:abstractNumId="1">
    <w:nsid w:val="B2ACE7D4"/>
    <w:multiLevelType w:val="singleLevel"/>
    <w:tmpl w:val="B2ACE7D4"/>
    <w:lvl w:ilvl="0" w:tentative="0">
      <w:start w:val="1"/>
      <w:numFmt w:val="chineseCounting"/>
      <w:suff w:val="nothing"/>
      <w:lvlText w:val="（%1）"/>
      <w:lvlJc w:val="left"/>
      <w:rPr>
        <w:rFonts w:hint="eastAsia"/>
      </w:rPr>
    </w:lvl>
  </w:abstractNum>
  <w:abstractNum w:abstractNumId="2">
    <w:nsid w:val="FAE06AA1"/>
    <w:multiLevelType w:val="singleLevel"/>
    <w:tmpl w:val="FAE06AA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2C8D"/>
    <w:rsid w:val="03034C09"/>
    <w:rsid w:val="05681359"/>
    <w:rsid w:val="12F16DE8"/>
    <w:rsid w:val="1B2F2B42"/>
    <w:rsid w:val="21BC5370"/>
    <w:rsid w:val="2B596C68"/>
    <w:rsid w:val="31EC5CCC"/>
    <w:rsid w:val="41502C8D"/>
    <w:rsid w:val="45A1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2021-12-09T04:02:00Z</dcterms:created>
  <dc:creator>lenovo</dc:creator>
  <cp:lastModifiedBy>lenovo</cp:lastModifiedBy>
  <dcterms:modified xsi:type="dcterms:W3CDTF">2021-12-09T23:18:20Z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F139A360D444439A815B438D075F33CE</vt:lpwstr>
  </property>
</Properties>
</file>